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B52" w:rsidRDefault="00891168">
      <w:pPr>
        <w:jc w:val="center"/>
        <w:rPr>
          <w:rFonts w:ascii="仿宋_GB2312" w:eastAsia="仿宋_GB2312" w:hAnsi="仿宋_GB2312" w:cs="仿宋_GB2312"/>
          <w:kern w:val="0"/>
          <w:sz w:val="32"/>
          <w:szCs w:val="32"/>
        </w:rPr>
      </w:pPr>
      <w:r>
        <w:rPr>
          <w:rFonts w:ascii="华文中宋" w:eastAsia="华文中宋" w:hAnsi="华文中宋" w:cs="华文中宋" w:hint="eastAsia"/>
          <w:sz w:val="36"/>
          <w:szCs w:val="36"/>
        </w:rPr>
        <w:t>2024</w:t>
      </w:r>
      <w:r>
        <w:rPr>
          <w:rFonts w:ascii="华文中宋" w:eastAsia="华文中宋" w:hAnsi="华文中宋" w:cs="华文中宋" w:hint="eastAsia"/>
          <w:sz w:val="36"/>
          <w:szCs w:val="36"/>
        </w:rPr>
        <w:t>年磐石市预算绩效管理工作总结</w:t>
      </w:r>
    </w:p>
    <w:p w:rsidR="008C6B52" w:rsidRDefault="008C6B52">
      <w:pPr>
        <w:spacing w:line="360" w:lineRule="auto"/>
        <w:ind w:firstLineChars="200" w:firstLine="640"/>
        <w:rPr>
          <w:rFonts w:ascii="仿宋_GB2312" w:eastAsia="仿宋_GB2312" w:hAnsi="仿宋_GB2312" w:cs="仿宋_GB2312"/>
          <w:kern w:val="0"/>
          <w:sz w:val="32"/>
          <w:szCs w:val="32"/>
        </w:rPr>
      </w:pPr>
    </w:p>
    <w:p w:rsidR="008C6B52" w:rsidRDefault="0089116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w:t>
      </w:r>
      <w:r>
        <w:rPr>
          <w:rFonts w:ascii="仿宋_GB2312" w:eastAsia="仿宋_GB2312" w:hAnsi="仿宋_GB2312" w:cs="仿宋_GB2312" w:hint="eastAsia"/>
          <w:sz w:val="32"/>
          <w:szCs w:val="32"/>
        </w:rPr>
        <w:t>磐石市深入学习贯彻省、市财政部门关于全面实施预算绩效管理的决策部署，结合本市实际，深化落实过紧日子要求要求，落实落细财政重点绩效评价常态机制，全面推进预算绩效管理提质增效要求，进一步提高财政资源配置效率和财政资金使用效益，提升绩效管理工作水平。</w:t>
      </w:r>
    </w:p>
    <w:p w:rsidR="008C6B52" w:rsidRDefault="00891168">
      <w:pPr>
        <w:spacing w:line="360" w:lineRule="auto"/>
        <w:ind w:firstLineChars="200" w:firstLine="640"/>
        <w:rPr>
          <w:rFonts w:ascii="黑体" w:eastAsia="黑体" w:hAnsi="黑体" w:cs="黑体"/>
          <w:kern w:val="0"/>
          <w:sz w:val="32"/>
          <w:szCs w:val="32"/>
        </w:rPr>
      </w:pPr>
      <w:r>
        <w:rPr>
          <w:rFonts w:ascii="黑体" w:eastAsia="黑体" w:hAnsi="黑体" w:cs="黑体" w:hint="eastAsia"/>
          <w:kern w:val="0"/>
          <w:sz w:val="32"/>
          <w:szCs w:val="32"/>
        </w:rPr>
        <w:t>一、</w:t>
      </w:r>
      <w:r>
        <w:rPr>
          <w:rFonts w:ascii="楷体" w:eastAsia="楷体" w:hAnsi="楷体" w:cs="楷体" w:hint="eastAsia"/>
          <w:b/>
          <w:bCs/>
          <w:kern w:val="0"/>
          <w:sz w:val="32"/>
          <w:szCs w:val="32"/>
        </w:rPr>
        <w:t>预算绩效管理工作开展情况</w:t>
      </w:r>
    </w:p>
    <w:p w:rsidR="008C6B52" w:rsidRDefault="00891168">
      <w:pPr>
        <w:spacing w:line="360" w:lineRule="auto"/>
        <w:ind w:firstLineChars="200" w:firstLine="643"/>
        <w:rPr>
          <w:rFonts w:ascii="楷体" w:eastAsia="楷体" w:hAnsi="楷体" w:cs="楷体"/>
          <w:b/>
          <w:bCs/>
          <w:kern w:val="0"/>
          <w:sz w:val="32"/>
          <w:szCs w:val="32"/>
        </w:rPr>
      </w:pPr>
      <w:r>
        <w:rPr>
          <w:rFonts w:ascii="楷体" w:eastAsia="楷体" w:hAnsi="楷体" w:cs="楷体" w:hint="eastAsia"/>
          <w:b/>
          <w:bCs/>
          <w:kern w:val="0"/>
          <w:sz w:val="32"/>
          <w:szCs w:val="32"/>
        </w:rPr>
        <w:t>（一）统一思想认识，加大宣传力度</w:t>
      </w:r>
    </w:p>
    <w:p w:rsidR="008C6B52" w:rsidRDefault="00891168">
      <w:pPr>
        <w:spacing w:line="36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预算绩效管理是政府绩效管理的重要组成部分，全面推进预算绩效管理既是经济社会和财政改革发展到一定阶段的必然选择，也是建立高效、廉洁、责任、透明政府的必然要求，更是深化行政体制改革，提高政府效能的重要举措。切实改进预算支出管理，提升预算管理水平，提高公共财政服务质量，优化财政资源配置，保障改善民生，促进经济社会可持续健康发展。</w:t>
      </w:r>
    </w:p>
    <w:p w:rsidR="008C6B52" w:rsidRDefault="00891168">
      <w:pPr>
        <w:spacing w:line="360" w:lineRule="auto"/>
        <w:ind w:firstLineChars="200" w:firstLine="643"/>
        <w:rPr>
          <w:rFonts w:ascii="楷体" w:eastAsia="楷体" w:hAnsi="楷体" w:cs="楷体"/>
          <w:kern w:val="0"/>
          <w:sz w:val="32"/>
          <w:szCs w:val="32"/>
        </w:rPr>
      </w:pPr>
      <w:r>
        <w:rPr>
          <w:rFonts w:ascii="楷体" w:eastAsia="楷体" w:hAnsi="楷体" w:cs="楷体" w:hint="eastAsia"/>
          <w:b/>
          <w:bCs/>
          <w:kern w:val="0"/>
          <w:sz w:val="32"/>
          <w:szCs w:val="32"/>
        </w:rPr>
        <w:t>（二）全面推进</w:t>
      </w:r>
      <w:r>
        <w:rPr>
          <w:rFonts w:ascii="楷体" w:eastAsia="楷体" w:hAnsi="楷体" w:cs="楷体" w:hint="eastAsia"/>
          <w:b/>
          <w:bCs/>
          <w:kern w:val="0"/>
          <w:sz w:val="32"/>
          <w:szCs w:val="32"/>
        </w:rPr>
        <w:t>,</w:t>
      </w:r>
      <w:r>
        <w:rPr>
          <w:rFonts w:ascii="楷体" w:eastAsia="楷体" w:hAnsi="楷体" w:cs="楷体" w:hint="eastAsia"/>
          <w:b/>
          <w:bCs/>
          <w:kern w:val="0"/>
          <w:sz w:val="32"/>
          <w:szCs w:val="32"/>
        </w:rPr>
        <w:t>重点突破</w:t>
      </w:r>
    </w:p>
    <w:p w:rsidR="008C6B52" w:rsidRDefault="00891168">
      <w:pPr>
        <w:spacing w:line="36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、规范绩效目标编报。绩效目标编报是预算绩效管理的基础，按照“谁申请使用资金，谁编报绩效目标”，在编制</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年部门预算的同时，对全</w:t>
      </w:r>
      <w:r>
        <w:rPr>
          <w:rFonts w:ascii="仿宋_GB2312" w:eastAsia="仿宋_GB2312" w:hAnsi="仿宋_GB2312" w:cs="仿宋_GB2312" w:hint="eastAsia"/>
          <w:kern w:val="0"/>
          <w:sz w:val="32"/>
          <w:szCs w:val="32"/>
        </w:rPr>
        <w:t>市</w:t>
      </w:r>
      <w:r>
        <w:rPr>
          <w:rFonts w:ascii="仿宋_GB2312" w:eastAsia="仿宋_GB2312" w:hAnsi="仿宋_GB2312" w:cs="仿宋_GB2312" w:hint="eastAsia"/>
          <w:kern w:val="0"/>
          <w:sz w:val="32"/>
          <w:szCs w:val="32"/>
        </w:rPr>
        <w:t>所有预算项目预算绩效目标同步编制、同步审核、同步批复。</w:t>
      </w:r>
    </w:p>
    <w:p w:rsidR="008C6B52" w:rsidRDefault="00891168">
      <w:pPr>
        <w:spacing w:line="360" w:lineRule="auto"/>
        <w:ind w:firstLineChars="200" w:firstLine="640"/>
        <w:rPr>
          <w:rFonts w:ascii="仿宋_GB2312" w:eastAsia="仿宋_GB2312" w:hAnsi="宋体" w:cs="仿宋_GB2312"/>
          <w:sz w:val="32"/>
          <w:szCs w:val="32"/>
          <w:shd w:val="clear" w:color="auto" w:fill="FFFFFF"/>
        </w:rPr>
      </w:pP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、加强预算绩效运行监控。</w:t>
      </w:r>
      <w:r>
        <w:rPr>
          <w:rFonts w:ascii="仿宋_GB2312" w:eastAsia="仿宋_GB2312" w:hAnsi="宋体" w:cs="仿宋_GB2312"/>
          <w:sz w:val="32"/>
          <w:szCs w:val="32"/>
          <w:shd w:val="clear" w:color="auto" w:fill="FFFFFF"/>
        </w:rPr>
        <w:t>在预算执行环节，按照</w:t>
      </w:r>
      <w:r>
        <w:rPr>
          <w:rFonts w:ascii="仿宋_GB2312" w:eastAsia="仿宋_GB2312" w:hAnsi="宋体" w:cs="仿宋_GB2312"/>
          <w:sz w:val="32"/>
          <w:szCs w:val="32"/>
          <w:shd w:val="clear" w:color="auto" w:fill="FFFFFF"/>
        </w:rPr>
        <w:t>“</w:t>
      </w:r>
      <w:r>
        <w:rPr>
          <w:rFonts w:ascii="仿宋_GB2312" w:eastAsia="仿宋_GB2312" w:hAnsi="宋体" w:cs="仿宋_GB2312"/>
          <w:sz w:val="32"/>
          <w:szCs w:val="32"/>
          <w:shd w:val="clear" w:color="auto" w:fill="FFFFFF"/>
        </w:rPr>
        <w:t>谁</w:t>
      </w:r>
      <w:r>
        <w:rPr>
          <w:rFonts w:ascii="仿宋_GB2312" w:eastAsia="仿宋_GB2312" w:hAnsi="宋体" w:cs="仿宋_GB2312"/>
          <w:sz w:val="32"/>
          <w:szCs w:val="32"/>
          <w:shd w:val="clear" w:color="auto" w:fill="FFFFFF"/>
        </w:rPr>
        <w:lastRenderedPageBreak/>
        <w:t>支出、谁负责</w:t>
      </w:r>
      <w:r>
        <w:rPr>
          <w:rFonts w:ascii="仿宋_GB2312" w:eastAsia="仿宋_GB2312" w:hAnsi="宋体" w:cs="仿宋_GB2312"/>
          <w:sz w:val="32"/>
          <w:szCs w:val="32"/>
          <w:shd w:val="clear" w:color="auto" w:fill="FFFFFF"/>
        </w:rPr>
        <w:t>”</w:t>
      </w:r>
      <w:r>
        <w:rPr>
          <w:rFonts w:ascii="仿宋_GB2312" w:eastAsia="仿宋_GB2312" w:hAnsi="宋体" w:cs="仿宋_GB2312"/>
          <w:sz w:val="32"/>
          <w:szCs w:val="32"/>
          <w:shd w:val="clear" w:color="auto" w:fill="FFFFFF"/>
        </w:rPr>
        <w:t>的原则，我</w:t>
      </w:r>
      <w:r>
        <w:rPr>
          <w:rFonts w:ascii="仿宋_GB2312" w:eastAsia="仿宋_GB2312" w:hAnsi="宋体" w:cs="仿宋_GB2312" w:hint="eastAsia"/>
          <w:sz w:val="32"/>
          <w:szCs w:val="32"/>
          <w:shd w:val="clear" w:color="auto" w:fill="FFFFFF"/>
        </w:rPr>
        <w:t>市</w:t>
      </w:r>
      <w:r>
        <w:rPr>
          <w:rFonts w:ascii="仿宋_GB2312" w:eastAsia="仿宋_GB2312" w:hAnsi="宋体" w:cs="仿宋_GB2312"/>
          <w:sz w:val="32"/>
          <w:szCs w:val="32"/>
          <w:shd w:val="clear" w:color="auto" w:fill="FFFFFF"/>
        </w:rPr>
        <w:t>定期</w:t>
      </w:r>
      <w:r>
        <w:rPr>
          <w:rFonts w:ascii="仿宋_GB2312" w:eastAsia="仿宋_GB2312" w:hAnsi="宋体" w:cs="仿宋_GB2312"/>
          <w:sz w:val="32"/>
          <w:szCs w:val="32"/>
          <w:shd w:val="clear" w:color="auto" w:fill="FFFFFF"/>
        </w:rPr>
        <w:t>组织对预算执行中绩效目标的实现程度和预算执行进度监控，针对发现的问题分析原因并要求项目单位及时纠正，逐步建立重大政策、项目绩效跟踪机制，科学调度资金，切实提高预算执行效率。</w:t>
      </w:r>
    </w:p>
    <w:p w:rsidR="008C6B52" w:rsidRDefault="00891168">
      <w:pPr>
        <w:spacing w:line="360" w:lineRule="auto"/>
        <w:ind w:firstLineChars="200" w:firstLine="640"/>
        <w:rPr>
          <w:rFonts w:ascii="仿宋_GB2312" w:eastAsia="仿宋_GB2312" w:hAnsi="宋体" w:cs="仿宋_GB2312"/>
          <w:sz w:val="32"/>
          <w:szCs w:val="32"/>
          <w:shd w:val="clear" w:color="auto" w:fill="FFFFFF"/>
        </w:rPr>
      </w:pP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、组织开展绩效评价。</w:t>
      </w:r>
      <w:r>
        <w:rPr>
          <w:rFonts w:ascii="仿宋_GB2312" w:eastAsia="仿宋_GB2312" w:hAnsi="宋体" w:cs="仿宋_GB2312"/>
          <w:sz w:val="32"/>
          <w:szCs w:val="32"/>
          <w:shd w:val="clear" w:color="auto" w:fill="FFFFFF"/>
        </w:rPr>
        <w:t>一是组织全</w:t>
      </w:r>
      <w:r>
        <w:rPr>
          <w:rFonts w:ascii="仿宋_GB2312" w:eastAsia="仿宋_GB2312" w:hAnsi="宋体" w:cs="仿宋_GB2312" w:hint="eastAsia"/>
          <w:sz w:val="32"/>
          <w:szCs w:val="32"/>
          <w:shd w:val="clear" w:color="auto" w:fill="FFFFFF"/>
        </w:rPr>
        <w:t>市</w:t>
      </w:r>
      <w:r>
        <w:rPr>
          <w:rFonts w:ascii="仿宋_GB2312" w:eastAsia="仿宋_GB2312" w:hAnsi="宋体" w:cs="仿宋_GB2312"/>
          <w:sz w:val="32"/>
          <w:szCs w:val="32"/>
          <w:shd w:val="clear" w:color="auto" w:fill="FFFFFF"/>
        </w:rPr>
        <w:t>开展</w:t>
      </w:r>
      <w:r>
        <w:rPr>
          <w:rFonts w:ascii="仿宋_GB2312" w:eastAsia="仿宋_GB2312" w:hAnsi="宋体" w:cs="仿宋_GB2312"/>
          <w:sz w:val="32"/>
          <w:szCs w:val="32"/>
          <w:shd w:val="clear" w:color="auto" w:fill="FFFFFF"/>
        </w:rPr>
        <w:t>2023</w:t>
      </w:r>
      <w:r>
        <w:rPr>
          <w:rFonts w:ascii="仿宋_GB2312" w:eastAsia="仿宋_GB2312" w:hAnsi="宋体" w:cs="仿宋_GB2312"/>
          <w:sz w:val="32"/>
          <w:szCs w:val="32"/>
          <w:shd w:val="clear" w:color="auto" w:fill="FFFFFF"/>
        </w:rPr>
        <w:t>年部门整体</w:t>
      </w:r>
      <w:r>
        <w:rPr>
          <w:rFonts w:ascii="仿宋_GB2312" w:eastAsia="仿宋_GB2312" w:hAnsi="宋体" w:cs="仿宋_GB2312" w:hint="eastAsia"/>
          <w:sz w:val="32"/>
          <w:szCs w:val="32"/>
          <w:shd w:val="clear" w:color="auto" w:fill="FFFFFF"/>
        </w:rPr>
        <w:t>预算</w:t>
      </w:r>
      <w:r>
        <w:rPr>
          <w:rFonts w:ascii="仿宋_GB2312" w:eastAsia="仿宋_GB2312" w:hAnsi="宋体" w:cs="仿宋_GB2312"/>
          <w:sz w:val="32"/>
          <w:szCs w:val="32"/>
          <w:shd w:val="clear" w:color="auto" w:fill="FFFFFF"/>
        </w:rPr>
        <w:t>支出绩效评价工作，实施绩效评价部门</w:t>
      </w:r>
      <w:r>
        <w:rPr>
          <w:rFonts w:ascii="仿宋_GB2312" w:eastAsia="仿宋_GB2312" w:hAnsi="宋体" w:cs="仿宋_GB2312" w:hint="eastAsia"/>
          <w:sz w:val="32"/>
          <w:szCs w:val="32"/>
          <w:shd w:val="clear" w:color="auto" w:fill="FFFFFF"/>
        </w:rPr>
        <w:t xml:space="preserve">36 </w:t>
      </w:r>
      <w:r>
        <w:rPr>
          <w:rFonts w:ascii="仿宋_GB2312" w:eastAsia="仿宋_GB2312" w:hAnsi="宋体" w:cs="仿宋_GB2312"/>
          <w:sz w:val="32"/>
          <w:szCs w:val="32"/>
          <w:shd w:val="clear" w:color="auto" w:fill="FFFFFF"/>
        </w:rPr>
        <w:t>个，涉及金额</w:t>
      </w:r>
      <w:r>
        <w:rPr>
          <w:rFonts w:ascii="仿宋_GB2312" w:eastAsia="仿宋_GB2312" w:hAnsi="宋体" w:cs="仿宋_GB2312" w:hint="eastAsia"/>
          <w:sz w:val="32"/>
          <w:szCs w:val="32"/>
          <w:shd w:val="clear" w:color="auto" w:fill="FFFFFF"/>
        </w:rPr>
        <w:t>63811</w:t>
      </w:r>
      <w:r>
        <w:rPr>
          <w:rFonts w:ascii="仿宋_GB2312" w:eastAsia="仿宋_GB2312" w:hAnsi="宋体" w:cs="仿宋_GB2312"/>
          <w:sz w:val="32"/>
          <w:szCs w:val="32"/>
          <w:shd w:val="clear" w:color="auto" w:fill="FFFFFF"/>
        </w:rPr>
        <w:t>万元，二是组织开展</w:t>
      </w:r>
      <w:r>
        <w:rPr>
          <w:rFonts w:ascii="仿宋_GB2312" w:eastAsia="仿宋_GB2312" w:hAnsi="宋体" w:cs="仿宋_GB2312"/>
          <w:sz w:val="32"/>
          <w:szCs w:val="32"/>
          <w:shd w:val="clear" w:color="auto" w:fill="FFFFFF"/>
        </w:rPr>
        <w:t>2023</w:t>
      </w:r>
      <w:r>
        <w:rPr>
          <w:rFonts w:ascii="仿宋_GB2312" w:eastAsia="仿宋_GB2312" w:hAnsi="宋体" w:cs="仿宋_GB2312"/>
          <w:sz w:val="32"/>
          <w:szCs w:val="32"/>
          <w:shd w:val="clear" w:color="auto" w:fill="FFFFFF"/>
        </w:rPr>
        <w:t>年项目支出绩效自评工作，对纳入绩效管理的项目支出自评覆盖</w:t>
      </w:r>
      <w:r>
        <w:rPr>
          <w:rFonts w:ascii="仿宋_GB2312" w:eastAsia="仿宋_GB2312" w:hAnsi="宋体" w:cs="仿宋_GB2312" w:hint="eastAsia"/>
          <w:sz w:val="32"/>
          <w:szCs w:val="32"/>
          <w:shd w:val="clear" w:color="auto" w:fill="FFFFFF"/>
        </w:rPr>
        <w:t>率</w:t>
      </w:r>
      <w:r>
        <w:rPr>
          <w:rFonts w:ascii="仿宋_GB2312" w:eastAsia="仿宋_GB2312" w:hAnsi="宋体" w:cs="仿宋_GB2312"/>
          <w:sz w:val="32"/>
          <w:szCs w:val="32"/>
          <w:shd w:val="clear" w:color="auto" w:fill="FFFFFF"/>
        </w:rPr>
        <w:t>达到</w:t>
      </w:r>
      <w:r>
        <w:rPr>
          <w:rFonts w:ascii="仿宋_GB2312" w:eastAsia="仿宋_GB2312" w:hAnsi="宋体" w:cs="仿宋_GB2312"/>
          <w:sz w:val="32"/>
          <w:szCs w:val="32"/>
          <w:shd w:val="clear" w:color="auto" w:fill="FFFFFF"/>
        </w:rPr>
        <w:t>100%</w:t>
      </w:r>
      <w:r>
        <w:rPr>
          <w:rFonts w:ascii="仿宋_GB2312" w:eastAsia="仿宋_GB2312" w:hAnsi="宋体" w:cs="仿宋_GB2312"/>
          <w:sz w:val="32"/>
          <w:szCs w:val="32"/>
          <w:shd w:val="clear" w:color="auto" w:fill="FFFFFF"/>
        </w:rPr>
        <w:t>，全年实施绩效自评项目</w:t>
      </w:r>
      <w:r>
        <w:rPr>
          <w:rFonts w:ascii="仿宋_GB2312" w:eastAsia="仿宋_GB2312" w:hAnsi="宋体" w:cs="仿宋_GB2312" w:hint="eastAsia"/>
          <w:sz w:val="32"/>
          <w:szCs w:val="32"/>
          <w:shd w:val="clear" w:color="auto" w:fill="FFFFFF"/>
        </w:rPr>
        <w:t>1380</w:t>
      </w:r>
      <w:r>
        <w:rPr>
          <w:rFonts w:ascii="仿宋_GB2312" w:eastAsia="仿宋_GB2312" w:hAnsi="宋体" w:cs="仿宋_GB2312"/>
          <w:sz w:val="32"/>
          <w:szCs w:val="32"/>
          <w:shd w:val="clear" w:color="auto" w:fill="FFFFFF"/>
        </w:rPr>
        <w:t>个，涉及金额</w:t>
      </w:r>
      <w:r>
        <w:rPr>
          <w:rFonts w:ascii="仿宋_GB2312" w:eastAsia="仿宋_GB2312" w:hAnsi="宋体" w:cs="仿宋_GB2312" w:hint="eastAsia"/>
          <w:sz w:val="32"/>
          <w:szCs w:val="32"/>
          <w:shd w:val="clear" w:color="auto" w:fill="FFFFFF"/>
        </w:rPr>
        <w:t>51073</w:t>
      </w:r>
      <w:r>
        <w:rPr>
          <w:rFonts w:ascii="仿宋_GB2312" w:eastAsia="仿宋_GB2312" w:hAnsi="宋体" w:cs="仿宋_GB2312"/>
          <w:sz w:val="32"/>
          <w:szCs w:val="32"/>
          <w:shd w:val="clear" w:color="auto" w:fill="FFFFFF"/>
        </w:rPr>
        <w:t>万元</w:t>
      </w:r>
      <w:r>
        <w:rPr>
          <w:rFonts w:ascii="仿宋_GB2312" w:eastAsia="仿宋_GB2312" w:hAnsi="宋体" w:cs="仿宋_GB2312" w:hint="eastAsia"/>
          <w:sz w:val="32"/>
          <w:szCs w:val="32"/>
          <w:shd w:val="clear" w:color="auto" w:fill="FFFFFF"/>
        </w:rPr>
        <w:t>。</w:t>
      </w:r>
    </w:p>
    <w:p w:rsidR="008C6B52" w:rsidRDefault="00891168">
      <w:pPr>
        <w:spacing w:line="360" w:lineRule="auto"/>
        <w:ind w:firstLineChars="200" w:firstLine="640"/>
        <w:rPr>
          <w:rFonts w:ascii="仿宋_GB2312" w:eastAsia="仿宋_GB2312" w:hAnsi="宋体" w:cs="仿宋_GB2312"/>
          <w:sz w:val="32"/>
          <w:szCs w:val="32"/>
          <w:shd w:val="clear" w:color="auto" w:fill="FFFFFF"/>
        </w:rPr>
      </w:pP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rPr>
        <w:t>、加大信息公开力度。按照绩效管理信息公开相关要求，</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年预算下达后各单位将《项目绩效目标表》、《部门整体支出绩效目标表》和项目支出绩效目标的说明、部门整体支出绩效目标说明在</w:t>
      </w:r>
      <w:r>
        <w:rPr>
          <w:rFonts w:ascii="仿宋_GB2312" w:eastAsia="仿宋_GB2312" w:hAnsi="仿宋_GB2312" w:cs="仿宋_GB2312" w:hint="eastAsia"/>
          <w:kern w:val="0"/>
          <w:sz w:val="32"/>
          <w:szCs w:val="32"/>
        </w:rPr>
        <w:t>磐石市</w:t>
      </w:r>
      <w:r>
        <w:rPr>
          <w:rFonts w:ascii="仿宋_GB2312" w:eastAsia="仿宋_GB2312" w:hAnsi="仿宋_GB2312" w:cs="仿宋_GB2312" w:hint="eastAsia"/>
          <w:kern w:val="0"/>
          <w:sz w:val="32"/>
          <w:szCs w:val="32"/>
        </w:rPr>
        <w:t>人民政府网站预决算公开专栏进行公开，主动接受人大和社会各界的监督。</w:t>
      </w:r>
    </w:p>
    <w:p w:rsidR="008C6B52" w:rsidRDefault="00891168">
      <w:pPr>
        <w:numPr>
          <w:ilvl w:val="0"/>
          <w:numId w:val="1"/>
        </w:numPr>
        <w:spacing w:line="360" w:lineRule="auto"/>
        <w:ind w:firstLineChars="200" w:firstLine="643"/>
        <w:rPr>
          <w:rFonts w:ascii="楷体" w:eastAsia="楷体" w:hAnsi="楷体" w:cs="楷体"/>
          <w:b/>
          <w:bCs/>
          <w:kern w:val="0"/>
          <w:sz w:val="32"/>
          <w:szCs w:val="32"/>
        </w:rPr>
      </w:pPr>
      <w:r>
        <w:rPr>
          <w:rFonts w:ascii="楷体" w:eastAsia="楷体" w:hAnsi="楷体" w:cs="楷体" w:hint="eastAsia"/>
          <w:b/>
          <w:bCs/>
          <w:kern w:val="0"/>
          <w:sz w:val="32"/>
          <w:szCs w:val="32"/>
        </w:rPr>
        <w:t>绩效管理取得成效</w:t>
      </w:r>
    </w:p>
    <w:p w:rsidR="008C6B52" w:rsidRDefault="00891168">
      <w:pPr>
        <w:numPr>
          <w:ilvl w:val="0"/>
          <w:numId w:val="2"/>
        </w:numPr>
        <w:spacing w:line="360" w:lineRule="auto"/>
        <w:ind w:firstLineChars="200" w:firstLine="643"/>
        <w:rPr>
          <w:rFonts w:ascii="楷体" w:eastAsia="楷体" w:hAnsi="楷体" w:cs="楷体"/>
          <w:b/>
          <w:bCs/>
          <w:kern w:val="0"/>
          <w:sz w:val="32"/>
          <w:szCs w:val="32"/>
        </w:rPr>
      </w:pPr>
      <w:r>
        <w:rPr>
          <w:rFonts w:ascii="楷体" w:eastAsia="楷体" w:hAnsi="楷体" w:cs="楷体" w:hint="eastAsia"/>
          <w:b/>
          <w:bCs/>
          <w:kern w:val="0"/>
          <w:sz w:val="32"/>
          <w:szCs w:val="32"/>
        </w:rPr>
        <w:t>绩效目标不断细化</w:t>
      </w:r>
    </w:p>
    <w:p w:rsidR="008C6B52" w:rsidRDefault="00891168">
      <w:pPr>
        <w:spacing w:line="36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绩效目标是预算绩效管理的基础，是预算绩效管理系统的前提，包括绩效内容、绩效指标和绩效标准，各预算部门（单位）根据本部门（单位）的工作计划和职能特点，科学、合理的测算资金需求，确定更加细化的绩效目标和指标。</w:t>
      </w:r>
    </w:p>
    <w:p w:rsidR="008C6B52" w:rsidRDefault="00891168">
      <w:pPr>
        <w:numPr>
          <w:ilvl w:val="0"/>
          <w:numId w:val="2"/>
        </w:numPr>
        <w:spacing w:line="360" w:lineRule="auto"/>
        <w:ind w:firstLineChars="200" w:firstLine="643"/>
        <w:rPr>
          <w:rFonts w:ascii="楷体" w:eastAsia="楷体" w:hAnsi="楷体" w:cs="楷体"/>
          <w:b/>
          <w:bCs/>
          <w:kern w:val="0"/>
          <w:sz w:val="32"/>
          <w:szCs w:val="32"/>
        </w:rPr>
      </w:pPr>
      <w:r>
        <w:rPr>
          <w:rFonts w:ascii="楷体" w:eastAsia="楷体" w:hAnsi="楷体" w:cs="楷体" w:hint="eastAsia"/>
          <w:b/>
          <w:bCs/>
          <w:kern w:val="0"/>
          <w:sz w:val="32"/>
          <w:szCs w:val="32"/>
        </w:rPr>
        <w:t>管理水平有效提高</w:t>
      </w:r>
    </w:p>
    <w:p w:rsidR="008C6B52" w:rsidRDefault="00891168" w:rsidP="008105F7">
      <w:pPr>
        <w:spacing w:line="360" w:lineRule="auto"/>
        <w:ind w:leftChars="200" w:left="420"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通过开展绩效评价，为加强和规范财政资金的使用提</w:t>
      </w:r>
      <w:r>
        <w:rPr>
          <w:rFonts w:ascii="仿宋_GB2312" w:eastAsia="仿宋_GB2312" w:hAnsi="仿宋_GB2312" w:cs="仿宋_GB2312" w:hint="eastAsia"/>
          <w:kern w:val="0"/>
          <w:sz w:val="32"/>
          <w:szCs w:val="32"/>
        </w:rPr>
        <w:lastRenderedPageBreak/>
        <w:t>供了有力保障。同时，加强评价结果的反馈工作进一步提高了财政资金使用效益。通过绩效评价工作的开展，有力推动了各部门（单位）加强项目的规划与科学论证，健全了项目资金的核算与管理制度，改进资金使用管理方式，提高了管理水平。</w:t>
      </w:r>
    </w:p>
    <w:p w:rsidR="008C6B52" w:rsidRDefault="00891168" w:rsidP="008105F7">
      <w:pPr>
        <w:spacing w:line="360" w:lineRule="auto"/>
        <w:ind w:leftChars="200" w:left="420" w:firstLineChars="200" w:firstLine="640"/>
        <w:rPr>
          <w:rFonts w:ascii="黑体" w:eastAsia="黑体" w:hAnsi="黑体" w:cs="黑体"/>
          <w:kern w:val="0"/>
          <w:sz w:val="32"/>
          <w:szCs w:val="32"/>
        </w:rPr>
      </w:pPr>
      <w:r>
        <w:rPr>
          <w:rFonts w:ascii="黑体" w:eastAsia="黑体" w:hAnsi="黑体" w:cs="黑体" w:hint="eastAsia"/>
          <w:kern w:val="0"/>
          <w:sz w:val="32"/>
          <w:szCs w:val="32"/>
        </w:rPr>
        <w:t>三</w:t>
      </w:r>
      <w:r>
        <w:rPr>
          <w:rFonts w:ascii="黑体" w:eastAsia="黑体" w:hAnsi="黑体" w:cs="黑体" w:hint="eastAsia"/>
          <w:kern w:val="0"/>
          <w:sz w:val="32"/>
          <w:szCs w:val="32"/>
        </w:rPr>
        <w:t>、</w:t>
      </w:r>
      <w:r>
        <w:rPr>
          <w:rFonts w:ascii="黑体" w:eastAsia="黑体" w:hAnsi="黑体" w:cs="黑体" w:hint="eastAsia"/>
          <w:kern w:val="0"/>
          <w:sz w:val="32"/>
          <w:szCs w:val="32"/>
        </w:rPr>
        <w:t>2025</w:t>
      </w:r>
      <w:r>
        <w:rPr>
          <w:rFonts w:ascii="黑体" w:eastAsia="黑体" w:hAnsi="黑体" w:cs="黑体" w:hint="eastAsia"/>
          <w:kern w:val="0"/>
          <w:sz w:val="32"/>
          <w:szCs w:val="32"/>
        </w:rPr>
        <w:t>年工作计划</w:t>
      </w:r>
    </w:p>
    <w:p w:rsidR="008C6B52" w:rsidRDefault="00891168">
      <w:pPr>
        <w:pStyle w:val="a3"/>
        <w:ind w:firstLineChars="400" w:firstLine="1280"/>
        <w:rPr>
          <w:rFonts w:ascii="仿宋_GB2312" w:eastAsia="仿宋_GB2312" w:hAnsi="仿宋_GB2312" w:cs="仿宋_GB2312"/>
          <w:sz w:val="32"/>
          <w:szCs w:val="32"/>
        </w:rPr>
      </w:pPr>
      <w:r>
        <w:rPr>
          <w:rFonts w:ascii="仿宋_GB2312" w:eastAsia="仿宋_GB2312" w:hAnsi="仿宋_GB2312" w:cs="仿宋_GB2312" w:hint="eastAsia"/>
          <w:sz w:val="32"/>
          <w:szCs w:val="32"/>
        </w:rPr>
        <w:t>2025</w:t>
      </w:r>
      <w:r>
        <w:rPr>
          <w:rFonts w:ascii="仿宋_GB2312" w:eastAsia="仿宋_GB2312" w:hAnsi="仿宋_GB2312" w:cs="仿宋_GB2312" w:hint="eastAsia"/>
          <w:sz w:val="32"/>
          <w:szCs w:val="32"/>
        </w:rPr>
        <w:t>年我市将以促进财政可持续发展为核心，通过科学的指标体系和评价方法，全面规范财政资金运行。在指标设置上，坚持科学合理、强化重点、高效实用的原则，突出引导性及前瞻性。在实施方式上，深入剖析，排查风险隐患，明确改革方向，守住安全底线，全面提升财政管理效能和保障能力。</w:t>
      </w:r>
    </w:p>
    <w:p w:rsidR="008C6B52" w:rsidRDefault="008C6B52">
      <w:pPr>
        <w:pStyle w:val="a3"/>
        <w:ind w:firstLineChars="400" w:firstLine="1280"/>
        <w:rPr>
          <w:rFonts w:ascii="仿宋_GB2312" w:eastAsia="仿宋_GB2312" w:hAnsi="仿宋_GB2312" w:cs="仿宋_GB2312"/>
          <w:sz w:val="32"/>
          <w:szCs w:val="32"/>
        </w:rPr>
      </w:pPr>
    </w:p>
    <w:p w:rsidR="008C6B52" w:rsidRDefault="00891168">
      <w:pPr>
        <w:pStyle w:val="a3"/>
        <w:ind w:firstLineChars="1800" w:firstLine="5760"/>
        <w:rPr>
          <w:rFonts w:ascii="仿宋_GB2312" w:eastAsia="仿宋_GB2312" w:hAnsi="仿宋_GB2312" w:cs="仿宋_GB2312"/>
          <w:sz w:val="32"/>
          <w:szCs w:val="32"/>
        </w:rPr>
      </w:pPr>
      <w:r>
        <w:rPr>
          <w:rFonts w:ascii="仿宋_GB2312" w:eastAsia="仿宋_GB2312" w:hAnsi="仿宋_GB2312" w:cs="仿宋_GB2312" w:hint="eastAsia"/>
          <w:sz w:val="32"/>
          <w:szCs w:val="32"/>
        </w:rPr>
        <w:t>磐石市财政局</w:t>
      </w:r>
    </w:p>
    <w:p w:rsidR="008C6B52" w:rsidRDefault="00891168">
      <w:pPr>
        <w:pStyle w:val="a3"/>
        <w:ind w:firstLineChars="1700" w:firstLine="5440"/>
        <w:rPr>
          <w:rFonts w:ascii="仿宋_GB2312" w:eastAsia="仿宋_GB2312" w:hAnsi="仿宋_GB2312" w:cs="仿宋_GB2312"/>
          <w:sz w:val="32"/>
          <w:szCs w:val="32"/>
        </w:rPr>
      </w:pPr>
      <w:r>
        <w:rPr>
          <w:rFonts w:ascii="仿宋_GB2312" w:eastAsia="仿宋_GB2312" w:hAnsi="仿宋_GB2312" w:cs="仿宋_GB2312" w:hint="eastAsia"/>
          <w:sz w:val="32"/>
          <w:szCs w:val="32"/>
        </w:rPr>
        <w:t>2025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bookmarkStart w:id="0" w:name="_GoBack"/>
      <w:bookmarkEnd w:id="0"/>
      <w:r w:rsidR="008105F7">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日</w:t>
      </w:r>
    </w:p>
    <w:sectPr w:rsidR="008C6B52" w:rsidSect="008C6B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168" w:rsidRDefault="00891168" w:rsidP="008105F7">
      <w:r>
        <w:separator/>
      </w:r>
    </w:p>
  </w:endnote>
  <w:endnote w:type="continuationSeparator" w:id="1">
    <w:p w:rsidR="00891168" w:rsidRDefault="00891168" w:rsidP="008105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168" w:rsidRDefault="00891168" w:rsidP="008105F7">
      <w:r>
        <w:separator/>
      </w:r>
    </w:p>
  </w:footnote>
  <w:footnote w:type="continuationSeparator" w:id="1">
    <w:p w:rsidR="00891168" w:rsidRDefault="00891168" w:rsidP="008105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E4E9"/>
    <w:multiLevelType w:val="singleLevel"/>
    <w:tmpl w:val="05A1E4E9"/>
    <w:lvl w:ilvl="0">
      <w:start w:val="1"/>
      <w:numFmt w:val="chineseCounting"/>
      <w:suff w:val="nothing"/>
      <w:lvlText w:val="（%1）"/>
      <w:lvlJc w:val="left"/>
      <w:rPr>
        <w:rFonts w:hint="eastAsia"/>
      </w:rPr>
    </w:lvl>
  </w:abstractNum>
  <w:abstractNum w:abstractNumId="1">
    <w:nsid w:val="7AFDCE6B"/>
    <w:multiLevelType w:val="singleLevel"/>
    <w:tmpl w:val="7AFDCE6B"/>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docVars>
    <w:docVar w:name="commondata" w:val="eyJoZGlkIjoiMGVmNzViODM1NjRlNjIxNTVmNDkwZjk0NzQ4OWI2YmYifQ=="/>
  </w:docVars>
  <w:rsids>
    <w:rsidRoot w:val="74716DBB"/>
    <w:rsid w:val="003E3962"/>
    <w:rsid w:val="008105F7"/>
    <w:rsid w:val="00891168"/>
    <w:rsid w:val="008C6B52"/>
    <w:rsid w:val="0B074993"/>
    <w:rsid w:val="19843D7B"/>
    <w:rsid w:val="31345853"/>
    <w:rsid w:val="316E1BCF"/>
    <w:rsid w:val="41B119D5"/>
    <w:rsid w:val="46AF0BD0"/>
    <w:rsid w:val="47802B71"/>
    <w:rsid w:val="74716D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6B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8C6B52"/>
    <w:pPr>
      <w:spacing w:after="120"/>
    </w:pPr>
  </w:style>
  <w:style w:type="paragraph" w:styleId="a4">
    <w:name w:val="Normal (Web)"/>
    <w:basedOn w:val="a"/>
    <w:qFormat/>
    <w:rsid w:val="008C6B52"/>
    <w:pPr>
      <w:spacing w:beforeAutospacing="1" w:afterAutospacing="1"/>
      <w:jc w:val="left"/>
    </w:pPr>
    <w:rPr>
      <w:kern w:val="0"/>
      <w:sz w:val="24"/>
    </w:rPr>
  </w:style>
  <w:style w:type="character" w:styleId="a5">
    <w:name w:val="Strong"/>
    <w:basedOn w:val="a0"/>
    <w:qFormat/>
    <w:rsid w:val="008C6B52"/>
    <w:rPr>
      <w:b/>
    </w:rPr>
  </w:style>
  <w:style w:type="paragraph" w:styleId="a6">
    <w:name w:val="header"/>
    <w:basedOn w:val="a"/>
    <w:link w:val="Char"/>
    <w:rsid w:val="008105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8105F7"/>
    <w:rPr>
      <w:kern w:val="2"/>
      <w:sz w:val="18"/>
      <w:szCs w:val="18"/>
    </w:rPr>
  </w:style>
  <w:style w:type="paragraph" w:styleId="a7">
    <w:name w:val="footer"/>
    <w:basedOn w:val="a"/>
    <w:link w:val="Char0"/>
    <w:rsid w:val="008105F7"/>
    <w:pPr>
      <w:tabs>
        <w:tab w:val="center" w:pos="4153"/>
        <w:tab w:val="right" w:pos="8306"/>
      </w:tabs>
      <w:snapToGrid w:val="0"/>
      <w:jc w:val="left"/>
    </w:pPr>
    <w:rPr>
      <w:sz w:val="18"/>
      <w:szCs w:val="18"/>
    </w:rPr>
  </w:style>
  <w:style w:type="character" w:customStyle="1" w:styleId="Char0">
    <w:name w:val="页脚 Char"/>
    <w:basedOn w:val="a0"/>
    <w:link w:val="a7"/>
    <w:rsid w:val="008105F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深海</dc:creator>
  <cp:lastModifiedBy>lenopvo</cp:lastModifiedBy>
  <cp:revision>2</cp:revision>
  <dcterms:created xsi:type="dcterms:W3CDTF">2024-01-11T02:53:00Z</dcterms:created>
  <dcterms:modified xsi:type="dcterms:W3CDTF">2025-08-21T03:00:00Z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F8351B85AD1D4716A9D6EA9E92789052_13</vt:lpwstr>
  </property>
  <property fmtid="{D5CDD505-2E9C-101B-9397-08002B2CF9AE}" pid="4" name="KSOTemplateDocerSaveRecord">
    <vt:lpwstr>eyJoZGlkIjoiNjNmM2U5M2RhZjM3ZTI5ODZkNWZiYjYxZTBlMzI1ZTkifQ==</vt:lpwstr>
  </property>
</Properties>
</file>