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8E2D1D">
      <w:pPr>
        <w:jc w:val="center"/>
        <w:rPr>
          <w:rFonts w:hint="eastAsia" w:ascii="黑体" w:hAnsi="黑体" w:eastAsia="黑体"/>
          <w:sz w:val="44"/>
          <w:szCs w:val="44"/>
          <w:highlight w:val="none"/>
          <w:lang w:val="en-US" w:eastAsia="zh-CN"/>
        </w:rPr>
      </w:pPr>
    </w:p>
    <w:p w14:paraId="3BE6D561">
      <w:pPr>
        <w:jc w:val="center"/>
        <w:rPr>
          <w:rFonts w:hint="eastAsia" w:ascii="黑体" w:hAnsi="黑体" w:eastAsia="黑体"/>
          <w:sz w:val="44"/>
          <w:szCs w:val="44"/>
          <w:highlight w:val="none"/>
          <w:lang w:val="en-US" w:eastAsia="zh-CN"/>
        </w:rPr>
      </w:pPr>
    </w:p>
    <w:p w14:paraId="5E33276D">
      <w:pPr>
        <w:jc w:val="center"/>
        <w:rPr>
          <w:rFonts w:hint="eastAsia" w:ascii="黑体" w:hAnsi="黑体" w:eastAsia="黑体"/>
          <w:sz w:val="44"/>
          <w:szCs w:val="44"/>
          <w:highlight w:val="none"/>
          <w:lang w:val="en-US" w:eastAsia="zh-CN"/>
        </w:rPr>
      </w:pPr>
    </w:p>
    <w:p w14:paraId="7D161FC0">
      <w:pPr>
        <w:jc w:val="center"/>
        <w:rPr>
          <w:rFonts w:hint="eastAsia" w:ascii="黑体" w:hAnsi="黑体" w:eastAsia="黑体"/>
          <w:sz w:val="44"/>
          <w:szCs w:val="44"/>
          <w:highlight w:val="none"/>
          <w:lang w:val="en-US" w:eastAsia="zh-CN"/>
        </w:rPr>
      </w:pPr>
    </w:p>
    <w:p w14:paraId="651FF4EE">
      <w:pPr>
        <w:jc w:val="center"/>
        <w:rPr>
          <w:rFonts w:hint="eastAsia" w:ascii="黑体" w:hAnsi="黑体" w:eastAsia="黑体"/>
          <w:sz w:val="44"/>
          <w:szCs w:val="44"/>
          <w:highlight w:val="none"/>
          <w:lang w:val="en-US" w:eastAsia="zh-CN"/>
        </w:rPr>
      </w:pPr>
    </w:p>
    <w:p w14:paraId="05D36A7D">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磐石市取柴河镇人民政府2025年部门预算</w:t>
      </w:r>
    </w:p>
    <w:p w14:paraId="7361DDB4">
      <w:pPr>
        <w:jc w:val="center"/>
        <w:rPr>
          <w:rFonts w:hint="eastAsia" w:ascii="黑体" w:hAnsi="黑体" w:eastAsia="黑体"/>
          <w:sz w:val="44"/>
          <w:szCs w:val="44"/>
          <w:highlight w:val="none"/>
        </w:rPr>
      </w:pPr>
    </w:p>
    <w:p w14:paraId="5CE969DB">
      <w:pPr>
        <w:jc w:val="center"/>
        <w:rPr>
          <w:rFonts w:hint="eastAsia" w:ascii="黑体" w:hAnsi="黑体" w:eastAsia="黑体"/>
          <w:sz w:val="44"/>
          <w:szCs w:val="44"/>
          <w:highlight w:val="none"/>
        </w:rPr>
      </w:pPr>
    </w:p>
    <w:p w14:paraId="1FE83CAE">
      <w:pPr>
        <w:jc w:val="center"/>
        <w:rPr>
          <w:rFonts w:hint="eastAsia" w:ascii="黑体" w:hAnsi="黑体" w:eastAsia="黑体"/>
          <w:sz w:val="44"/>
          <w:szCs w:val="44"/>
          <w:highlight w:val="none"/>
        </w:rPr>
      </w:pPr>
    </w:p>
    <w:p w14:paraId="642DB3D7">
      <w:pPr>
        <w:jc w:val="center"/>
        <w:rPr>
          <w:rFonts w:hint="eastAsia" w:ascii="黑体" w:hAnsi="黑体" w:eastAsia="黑体"/>
          <w:sz w:val="44"/>
          <w:szCs w:val="44"/>
          <w:highlight w:val="none"/>
        </w:rPr>
      </w:pPr>
    </w:p>
    <w:p w14:paraId="535861A1">
      <w:pPr>
        <w:jc w:val="center"/>
        <w:rPr>
          <w:rFonts w:hint="eastAsia" w:ascii="黑体" w:hAnsi="黑体" w:eastAsia="黑体"/>
          <w:sz w:val="44"/>
          <w:szCs w:val="44"/>
          <w:highlight w:val="none"/>
        </w:rPr>
      </w:pPr>
    </w:p>
    <w:p w14:paraId="67643F8A">
      <w:pPr>
        <w:jc w:val="center"/>
        <w:rPr>
          <w:rFonts w:hint="eastAsia" w:ascii="黑体" w:hAnsi="黑体" w:eastAsia="黑体"/>
          <w:sz w:val="44"/>
          <w:szCs w:val="44"/>
          <w:highlight w:val="none"/>
        </w:rPr>
      </w:pPr>
    </w:p>
    <w:p w14:paraId="3D64C937">
      <w:pPr>
        <w:jc w:val="center"/>
        <w:rPr>
          <w:rFonts w:hint="eastAsia" w:ascii="黑体" w:hAnsi="黑体" w:eastAsia="黑体"/>
          <w:sz w:val="44"/>
          <w:szCs w:val="44"/>
          <w:highlight w:val="none"/>
        </w:rPr>
      </w:pPr>
    </w:p>
    <w:p w14:paraId="29F96432">
      <w:pPr>
        <w:jc w:val="center"/>
        <w:rPr>
          <w:rFonts w:hint="eastAsia" w:ascii="黑体" w:hAnsi="黑体" w:eastAsia="黑体"/>
          <w:sz w:val="44"/>
          <w:szCs w:val="44"/>
          <w:highlight w:val="none"/>
        </w:rPr>
      </w:pPr>
    </w:p>
    <w:p w14:paraId="4D6976E6">
      <w:pPr>
        <w:jc w:val="center"/>
        <w:rPr>
          <w:rFonts w:hint="eastAsia" w:ascii="黑体" w:hAnsi="黑体" w:eastAsia="黑体"/>
          <w:sz w:val="44"/>
          <w:szCs w:val="44"/>
          <w:highlight w:val="none"/>
        </w:rPr>
      </w:pPr>
    </w:p>
    <w:p w14:paraId="37FB2728">
      <w:pPr>
        <w:jc w:val="center"/>
        <w:rPr>
          <w:rFonts w:hint="eastAsia" w:ascii="黑体" w:hAnsi="黑体" w:eastAsia="黑体"/>
          <w:sz w:val="44"/>
          <w:szCs w:val="44"/>
          <w:highlight w:val="none"/>
        </w:rPr>
      </w:pPr>
    </w:p>
    <w:p w14:paraId="2DF60832">
      <w:pPr>
        <w:jc w:val="center"/>
        <w:rPr>
          <w:rFonts w:hint="default" w:ascii="黑体" w:hAnsi="黑体" w:eastAsia="黑体"/>
          <w:sz w:val="44"/>
          <w:szCs w:val="44"/>
          <w:highlight w:val="yellow"/>
          <w:lang w:val="en-US" w:eastAsia="zh-CN"/>
        </w:rPr>
      </w:pPr>
      <w:r>
        <w:rPr>
          <w:rFonts w:hint="eastAsia" w:ascii="黑体" w:hAnsi="黑体" w:eastAsia="黑体"/>
          <w:sz w:val="44"/>
          <w:szCs w:val="44"/>
          <w:highlight w:val="yellow"/>
          <w:lang w:val="en-US" w:eastAsia="zh-CN"/>
        </w:rPr>
        <w:t>二〇二五年二月五日</w:t>
      </w:r>
    </w:p>
    <w:p w14:paraId="6ECD7AE9">
      <w:pPr>
        <w:jc w:val="center"/>
        <w:rPr>
          <w:rFonts w:hint="eastAsia" w:ascii="黑体" w:hAnsi="黑体" w:eastAsia="黑体"/>
          <w:sz w:val="44"/>
          <w:szCs w:val="44"/>
          <w:highlight w:val="none"/>
        </w:rPr>
      </w:pPr>
    </w:p>
    <w:p w14:paraId="313CF81A">
      <w:pPr>
        <w:jc w:val="center"/>
        <w:rPr>
          <w:rFonts w:hint="eastAsia" w:ascii="黑体" w:hAnsi="黑体" w:eastAsia="黑体"/>
          <w:sz w:val="44"/>
          <w:szCs w:val="44"/>
          <w:highlight w:val="none"/>
        </w:rPr>
      </w:pPr>
    </w:p>
    <w:p w14:paraId="4BC3D4C8">
      <w:pPr>
        <w:jc w:val="center"/>
        <w:rPr>
          <w:rFonts w:hint="eastAsia" w:ascii="黑体" w:hAnsi="黑体" w:eastAsia="黑体"/>
          <w:sz w:val="44"/>
          <w:szCs w:val="44"/>
          <w:highlight w:val="none"/>
        </w:rPr>
      </w:pPr>
    </w:p>
    <w:p w14:paraId="73C82891">
      <w:pPr>
        <w:jc w:val="center"/>
        <w:rPr>
          <w:rFonts w:hint="eastAsia" w:ascii="黑体" w:hAnsi="黑体" w:eastAsia="黑体"/>
          <w:sz w:val="44"/>
          <w:szCs w:val="44"/>
          <w:highlight w:val="none"/>
        </w:rPr>
      </w:pPr>
    </w:p>
    <w:p w14:paraId="0AC92A01">
      <w:pPr>
        <w:jc w:val="center"/>
        <w:rPr>
          <w:rFonts w:hint="eastAsia" w:ascii="黑体" w:hAnsi="黑体" w:eastAsia="黑体"/>
          <w:sz w:val="44"/>
          <w:szCs w:val="44"/>
          <w:highlight w:val="none"/>
        </w:rPr>
      </w:pPr>
    </w:p>
    <w:p w14:paraId="3B34CBBA">
      <w:pPr>
        <w:jc w:val="center"/>
        <w:rPr>
          <w:rFonts w:hint="eastAsia" w:ascii="黑体" w:hAnsi="黑体" w:eastAsia="黑体"/>
          <w:sz w:val="44"/>
          <w:szCs w:val="44"/>
          <w:highlight w:val="none"/>
        </w:rPr>
      </w:pPr>
    </w:p>
    <w:p w14:paraId="316F5123">
      <w:pPr>
        <w:jc w:val="center"/>
        <w:rPr>
          <w:rFonts w:ascii="黑体" w:hAnsi="黑体" w:eastAsia="黑体"/>
          <w:sz w:val="44"/>
          <w:szCs w:val="44"/>
          <w:highlight w:val="none"/>
        </w:rPr>
      </w:pPr>
      <w:r>
        <w:rPr>
          <w:rFonts w:hint="eastAsia" w:ascii="黑体" w:hAnsi="黑体" w:eastAsia="黑体"/>
          <w:sz w:val="44"/>
          <w:szCs w:val="44"/>
          <w:highlight w:val="none"/>
          <w:lang w:val="en-US" w:eastAsia="zh-CN"/>
        </w:rPr>
        <w:t>磐石市取柴河镇人民政府</w:t>
      </w:r>
      <w:r>
        <w:rPr>
          <w:rFonts w:hint="eastAsia" w:ascii="黑体" w:hAnsi="黑体" w:eastAsia="黑体"/>
          <w:sz w:val="44"/>
          <w:szCs w:val="44"/>
          <w:highlight w:val="none"/>
          <w:lang w:eastAsia="zh-CN"/>
        </w:rPr>
        <w:t>202</w:t>
      </w:r>
      <w:r>
        <w:rPr>
          <w:rFonts w:hint="eastAsia" w:ascii="黑体" w:hAnsi="黑体" w:eastAsia="黑体"/>
          <w:sz w:val="44"/>
          <w:szCs w:val="44"/>
          <w:highlight w:val="none"/>
          <w:lang w:val="en-US" w:eastAsia="zh-CN"/>
        </w:rPr>
        <w:t>5</w:t>
      </w:r>
      <w:r>
        <w:rPr>
          <w:rFonts w:hint="eastAsia" w:ascii="黑体" w:hAnsi="黑体" w:eastAsia="黑体"/>
          <w:sz w:val="44"/>
          <w:szCs w:val="44"/>
          <w:highlight w:val="none"/>
        </w:rPr>
        <w:t>年预算</w:t>
      </w:r>
    </w:p>
    <w:p w14:paraId="692EE02B">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14:paraId="7F2B610A">
      <w:pPr>
        <w:rPr>
          <w:rFonts w:ascii="仿宋" w:hAnsi="仿宋" w:eastAsia="仿宋"/>
          <w:sz w:val="32"/>
          <w:szCs w:val="32"/>
          <w:highlight w:val="none"/>
        </w:rPr>
      </w:pPr>
      <w:r>
        <w:rPr>
          <w:rFonts w:hint="eastAsia" w:ascii="仿宋" w:hAnsi="仿宋" w:eastAsia="仿宋"/>
          <w:sz w:val="32"/>
          <w:szCs w:val="32"/>
          <w:highlight w:val="none"/>
        </w:rPr>
        <w:t>第一部分  部门概况</w:t>
      </w:r>
    </w:p>
    <w:p w14:paraId="249098CD">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14:paraId="22C20D0E">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14:paraId="4B949567">
      <w:pPr>
        <w:rPr>
          <w:rFonts w:ascii="仿宋" w:hAnsi="仿宋" w:eastAsia="仿宋"/>
          <w:sz w:val="32"/>
          <w:szCs w:val="32"/>
          <w:highlight w:val="none"/>
        </w:rPr>
      </w:pPr>
      <w:r>
        <w:rPr>
          <w:rFonts w:hint="eastAsia" w:ascii="仿宋" w:hAnsi="仿宋" w:eastAsia="仿宋"/>
          <w:sz w:val="32"/>
          <w:szCs w:val="32"/>
          <w:highlight w:val="none"/>
        </w:rPr>
        <w:t>第二部分  情况说明</w:t>
      </w:r>
    </w:p>
    <w:p w14:paraId="44F503E1">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14:paraId="5E7BF888">
      <w:pPr>
        <w:rPr>
          <w:rFonts w:ascii="仿宋" w:hAnsi="仿宋" w:eastAsia="仿宋"/>
          <w:sz w:val="32"/>
          <w:szCs w:val="32"/>
          <w:highlight w:val="none"/>
        </w:rPr>
      </w:pPr>
      <w:r>
        <w:rPr>
          <w:rFonts w:hint="eastAsia" w:ascii="仿宋" w:hAnsi="仿宋" w:eastAsia="仿宋"/>
          <w:sz w:val="32"/>
          <w:szCs w:val="32"/>
          <w:highlight w:val="none"/>
        </w:rPr>
        <w:t>第四部分  预算表格</w:t>
      </w:r>
    </w:p>
    <w:p w14:paraId="21425F3C">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35EE3908">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16732997">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593CB433">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4D99212A">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14:paraId="4F1E83DE">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14:paraId="12CF16AA">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14:paraId="06A8B661">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14:paraId="7072ACF4">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国有资本经营预算支出表</w:t>
      </w:r>
    </w:p>
    <w:p w14:paraId="547A3B0F">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14:paraId="12301B87">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项目支出绩效目标表</w:t>
      </w:r>
    </w:p>
    <w:p w14:paraId="40E72911">
      <w:pPr>
        <w:rPr>
          <w:rFonts w:ascii="仿宋" w:hAnsi="仿宋" w:eastAsia="仿宋"/>
          <w:sz w:val="32"/>
          <w:szCs w:val="32"/>
          <w:highlight w:val="none"/>
        </w:rPr>
      </w:pPr>
    </w:p>
    <w:p w14:paraId="66D484D5">
      <w:pPr>
        <w:rPr>
          <w:rFonts w:ascii="仿宋" w:hAnsi="仿宋" w:eastAsia="仿宋"/>
          <w:sz w:val="32"/>
          <w:szCs w:val="32"/>
          <w:highlight w:val="none"/>
        </w:rPr>
      </w:pPr>
    </w:p>
    <w:p w14:paraId="5FAA60DB">
      <w:pPr>
        <w:rPr>
          <w:rFonts w:ascii="仿宋" w:hAnsi="仿宋" w:eastAsia="仿宋"/>
          <w:sz w:val="32"/>
          <w:szCs w:val="32"/>
          <w:highlight w:val="none"/>
        </w:rPr>
      </w:pPr>
    </w:p>
    <w:p w14:paraId="03C9819E">
      <w:pPr>
        <w:jc w:val="center"/>
        <w:rPr>
          <w:rFonts w:ascii="黑体" w:hAnsi="黑体" w:eastAsia="黑体"/>
          <w:sz w:val="32"/>
          <w:szCs w:val="32"/>
          <w:highlight w:val="none"/>
        </w:rPr>
      </w:pPr>
      <w:r>
        <w:rPr>
          <w:rFonts w:hint="eastAsia" w:ascii="黑体" w:hAnsi="黑体" w:eastAsia="黑体"/>
          <w:sz w:val="32"/>
          <w:szCs w:val="32"/>
          <w:highlight w:val="none"/>
        </w:rPr>
        <w:t>第一部分    部门</w:t>
      </w:r>
      <w:r>
        <w:rPr>
          <w:rFonts w:hint="eastAsia" w:ascii="黑体" w:hAnsi="黑体" w:eastAsia="黑体"/>
          <w:sz w:val="32"/>
          <w:szCs w:val="32"/>
          <w:highlight w:val="none"/>
          <w:lang w:eastAsia="zh-CN"/>
        </w:rPr>
        <w:t>（单位）</w:t>
      </w:r>
      <w:r>
        <w:rPr>
          <w:rFonts w:hint="eastAsia" w:ascii="黑体" w:hAnsi="黑体" w:eastAsia="黑体"/>
          <w:sz w:val="32"/>
          <w:szCs w:val="32"/>
          <w:highlight w:val="none"/>
        </w:rPr>
        <w:t>概况</w:t>
      </w:r>
    </w:p>
    <w:p w14:paraId="6A5E8D39">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44CA8D90">
      <w:pPr>
        <w:jc w:val="left"/>
        <w:rPr>
          <w:rFonts w:ascii="仿宋" w:hAnsi="仿宋" w:eastAsia="仿宋"/>
          <w:sz w:val="32"/>
          <w:szCs w:val="32"/>
          <w:highlight w:val="none"/>
        </w:rPr>
      </w:pPr>
      <w:r>
        <w:rPr>
          <w:rFonts w:hint="eastAsia" w:ascii="仿宋" w:hAnsi="仿宋" w:eastAsia="仿宋"/>
          <w:sz w:val="32"/>
          <w:szCs w:val="32"/>
          <w:highlight w:val="none"/>
        </w:rPr>
        <w:t xml:space="preserve"> 一、主要职能</w:t>
      </w:r>
    </w:p>
    <w:p w14:paraId="67090FB8">
      <w:pPr>
        <w:pStyle w:val="10"/>
        <w:widowControl/>
        <w:spacing w:line="620" w:lineRule="exact"/>
        <w:ind w:firstLine="627" w:firstLineChars="196"/>
        <w:contextualSpacing/>
        <w:rPr>
          <w:rFonts w:hint="default" w:ascii="仿宋" w:hAnsi="仿宋" w:eastAsia="仿宋"/>
          <w:bCs/>
          <w:sz w:val="32"/>
          <w:szCs w:val="32"/>
          <w:highlight w:val="none"/>
          <w:lang w:val="en-US" w:eastAsia="zh-CN"/>
        </w:rPr>
      </w:pPr>
      <w:r>
        <w:rPr>
          <w:rFonts w:hint="eastAsia" w:ascii="仿宋" w:hAnsi="仿宋" w:eastAsia="仿宋"/>
          <w:bCs/>
          <w:sz w:val="32"/>
          <w:szCs w:val="32"/>
          <w:highlight w:val="none"/>
        </w:rPr>
        <w:t>单位</w:t>
      </w:r>
      <w:r>
        <w:rPr>
          <w:rFonts w:hint="eastAsia" w:ascii="仿宋" w:hAnsi="仿宋" w:eastAsia="仿宋"/>
          <w:bCs/>
          <w:kern w:val="0"/>
          <w:sz w:val="32"/>
          <w:szCs w:val="32"/>
          <w:highlight w:val="none"/>
        </w:rPr>
        <w:t>名称：</w:t>
      </w:r>
      <w:r>
        <w:rPr>
          <w:rFonts w:hint="eastAsia" w:ascii="仿宋" w:hAnsi="仿宋" w:eastAsia="仿宋"/>
          <w:bCs/>
          <w:kern w:val="0"/>
          <w:sz w:val="32"/>
          <w:szCs w:val="32"/>
          <w:highlight w:val="none"/>
          <w:lang w:val="en-US" w:eastAsia="zh-CN"/>
        </w:rPr>
        <w:t>磐石市取柴河镇人民政府</w:t>
      </w:r>
    </w:p>
    <w:p w14:paraId="763EB1E4">
      <w:pPr>
        <w:pStyle w:val="10"/>
        <w:widowControl/>
        <w:spacing w:line="620" w:lineRule="exact"/>
        <w:ind w:firstLine="627" w:firstLineChars="196"/>
        <w:contextualSpacing/>
        <w:rPr>
          <w:rFonts w:ascii="仿宋" w:hAnsi="仿宋" w:eastAsia="仿宋"/>
          <w:bCs/>
          <w:kern w:val="0"/>
          <w:sz w:val="32"/>
          <w:szCs w:val="32"/>
          <w:highlight w:val="none"/>
        </w:rPr>
      </w:pPr>
      <w:r>
        <w:rPr>
          <w:rFonts w:hint="eastAsia" w:ascii="仿宋" w:hAnsi="仿宋" w:eastAsia="仿宋"/>
          <w:bCs/>
          <w:kern w:val="0"/>
          <w:sz w:val="32"/>
          <w:szCs w:val="32"/>
          <w:highlight w:val="none"/>
        </w:rPr>
        <w:t>成立时间：</w:t>
      </w:r>
      <w:r>
        <w:rPr>
          <w:rFonts w:hint="eastAsia" w:ascii="仿宋" w:hAnsi="仿宋" w:eastAsia="仿宋"/>
          <w:bCs/>
          <w:kern w:val="0"/>
          <w:sz w:val="32"/>
          <w:szCs w:val="32"/>
          <w:highlight w:val="none"/>
          <w:lang w:val="en-US" w:eastAsia="zh-CN"/>
        </w:rPr>
        <w:t>1983</w:t>
      </w:r>
      <w:r>
        <w:rPr>
          <w:rFonts w:hint="eastAsia" w:ascii="仿宋" w:hAnsi="仿宋" w:eastAsia="仿宋"/>
          <w:bCs/>
          <w:kern w:val="0"/>
          <w:sz w:val="32"/>
          <w:szCs w:val="32"/>
          <w:highlight w:val="none"/>
        </w:rPr>
        <w:t>年</w:t>
      </w:r>
    </w:p>
    <w:p w14:paraId="04639656">
      <w:pPr>
        <w:pStyle w:val="10"/>
        <w:widowControl/>
        <w:spacing w:line="620" w:lineRule="exact"/>
        <w:ind w:firstLine="627" w:firstLineChars="196"/>
        <w:contextualSpacing/>
        <w:rPr>
          <w:rFonts w:ascii="仿宋" w:hAnsi="仿宋" w:eastAsia="仿宋"/>
          <w:kern w:val="0"/>
          <w:sz w:val="32"/>
          <w:szCs w:val="32"/>
          <w:highlight w:val="none"/>
        </w:rPr>
      </w:pPr>
      <w:r>
        <w:rPr>
          <w:rFonts w:hint="eastAsia" w:ascii="仿宋" w:hAnsi="仿宋" w:eastAsia="仿宋"/>
          <w:bCs/>
          <w:kern w:val="0"/>
          <w:sz w:val="32"/>
          <w:szCs w:val="32"/>
          <w:highlight w:val="none"/>
        </w:rPr>
        <w:t>单位性质</w:t>
      </w:r>
      <w:r>
        <w:rPr>
          <w:rFonts w:hint="eastAsia" w:ascii="仿宋" w:hAnsi="仿宋" w:eastAsia="仿宋"/>
          <w:kern w:val="0"/>
          <w:sz w:val="32"/>
          <w:szCs w:val="32"/>
          <w:highlight w:val="none"/>
        </w:rPr>
        <w:t>：人民政府是国家权力机关的执行机关，是国家的行政机关，人民政府对本级人民代表大会和它的常务委员会以及上一级国家行政机关负责并报告工作，负责组织和管理本行政区域的各项行政事务。同时，地方各级人民政府也是地方各级国家权力机关的执行机关，地方国家权力机关所通过的决议人民政府必须贯彻执行。</w:t>
      </w:r>
    </w:p>
    <w:p w14:paraId="45532605">
      <w:pPr>
        <w:pStyle w:val="10"/>
        <w:widowControl/>
        <w:spacing w:line="620" w:lineRule="exact"/>
        <w:ind w:firstLine="627" w:firstLineChars="196"/>
        <w:contextualSpacing/>
        <w:rPr>
          <w:rFonts w:ascii="仿宋" w:hAnsi="仿宋" w:eastAsia="仿宋"/>
          <w:bCs/>
          <w:kern w:val="0"/>
          <w:sz w:val="32"/>
          <w:szCs w:val="32"/>
          <w:highlight w:val="none"/>
        </w:rPr>
      </w:pPr>
      <w:r>
        <w:rPr>
          <w:rFonts w:hint="eastAsia" w:ascii="仿宋" w:hAnsi="仿宋" w:eastAsia="仿宋"/>
          <w:bCs/>
          <w:kern w:val="0"/>
          <w:sz w:val="32"/>
          <w:szCs w:val="32"/>
          <w:highlight w:val="none"/>
        </w:rPr>
        <w:t>主要职能：（1）制定和组织实施经济、科技和社会发展计划，制定资源开发技术改造和产业结构调整方案，组织指导好各业生产，抓好招商引资，促进经济发展。（2）制定并组织实施村镇建设规划，部署重点工程建设，地方道路建设及公共设施，水利设施的管理，负责土地、林木、水等自然资源和生态环境的保护，做好护林防火工作。（3）负责本行政区域内的民政、计划生育、文化教育、卫生、体育等社会公益事业的综合性工作。（4）按计划组织本级财政收入和地方税的征收，完成国家财政计划，不断培植税源，管好财政资金，增强财政实力。（6）完成上级政府交办的其它事项。</w:t>
      </w:r>
    </w:p>
    <w:p w14:paraId="613EA6A5">
      <w:pPr>
        <w:pStyle w:val="10"/>
        <w:widowControl/>
        <w:spacing w:line="620" w:lineRule="exact"/>
        <w:ind w:firstLine="627" w:firstLineChars="196"/>
        <w:contextualSpacing/>
        <w:rPr>
          <w:rFonts w:hint="eastAsia" w:ascii="仿宋" w:hAnsi="仿宋" w:eastAsia="仿宋"/>
          <w:bCs/>
          <w:kern w:val="0"/>
          <w:sz w:val="32"/>
          <w:szCs w:val="32"/>
          <w:highlight w:val="none"/>
        </w:rPr>
      </w:pPr>
      <w:r>
        <w:rPr>
          <w:rFonts w:hint="eastAsia" w:ascii="仿宋" w:hAnsi="仿宋" w:eastAsia="仿宋"/>
          <w:bCs/>
          <w:kern w:val="0"/>
          <w:sz w:val="32"/>
          <w:szCs w:val="32"/>
          <w:highlight w:val="none"/>
        </w:rPr>
        <w:t>主要业务：（一）负责组织、指导行政许可事项的审批服务工作；会同有关部门拟定有关行政许可制度改革方面的地方规范性文件，监督实施镇政府有关行政审批工作的方针、政策的贯彻情况进行督查。（二）牵头组织实施镇区建设工作；拟定镇区经济建设工作意见及有关规章制度并监督实施；负责指导镇区经济建设工作；负责镇区经济建设宣传及调研工作。（三）负责组织有关部门（单位）进入综合中心开设服务窗口；指导和协调有关部门（单位）办理行政许可、便民服务等事项；负责对行政许可项目办理情况督查；组织、协调投资项目行政许可事项的联审和部门（单位）之间的业务衔接。（四）负责各部门（单位）驻中心办事窗口信息数据的采集、统计、分析、上报；会同有关部门实施中心集中收费管理。（五）负责制定中心各项规章制度、管理办法，并组织实施；负责对中心窗口及工作人员的日常管理；受理对中心及窗口工作人员违规违纪投诉的查处。（六）组织实施对机关镇区经济建设的社会评估和日常督查工作；对涉企检查、培训、收费及集中年检等行为进行管理、监督；牵头组织开展机关社会评议活动。（七）负责受理镇区经济建设方面的投诉、举报，协调督促各有关部门按规定作出相应的处理或整改措施（八）承办上级交办的其他事项。</w:t>
      </w:r>
    </w:p>
    <w:p w14:paraId="4EB41512">
      <w:pPr>
        <w:jc w:val="left"/>
        <w:rPr>
          <w:rFonts w:ascii="仿宋" w:hAnsi="仿宋" w:eastAsia="仿宋"/>
          <w:sz w:val="32"/>
          <w:szCs w:val="32"/>
          <w:highlight w:val="none"/>
        </w:rPr>
      </w:pPr>
      <w:r>
        <w:rPr>
          <w:rFonts w:hint="eastAsia" w:ascii="仿宋" w:hAnsi="仿宋" w:eastAsia="仿宋"/>
          <w:sz w:val="32"/>
          <w:szCs w:val="32"/>
          <w:highlight w:val="none"/>
        </w:rPr>
        <w:t xml:space="preserve">   二、机构设置</w:t>
      </w:r>
    </w:p>
    <w:p w14:paraId="6224F71E">
      <w:pPr>
        <w:pStyle w:val="12"/>
        <w:ind w:firstLine="627" w:firstLineChars="196"/>
        <w:rPr>
          <w:rFonts w:hint="eastAsia" w:ascii="仿宋" w:hAnsi="仿宋" w:eastAsia="仿宋"/>
          <w:kern w:val="0"/>
          <w:szCs w:val="32"/>
          <w:highlight w:val="none"/>
        </w:rPr>
      </w:pPr>
      <w:r>
        <w:rPr>
          <w:rFonts w:hint="eastAsia" w:ascii="仿宋" w:hAnsi="仿宋" w:eastAsia="仿宋"/>
          <w:kern w:val="0"/>
          <w:szCs w:val="32"/>
          <w:highlight w:val="none"/>
        </w:rPr>
        <w:t>机构设置包括：取柴河镇政府共有预算单位2个，其中行政单位1个，事业单位1个</w:t>
      </w:r>
    </w:p>
    <w:p w14:paraId="3FD921CD">
      <w:pPr>
        <w:pStyle w:val="12"/>
        <w:ind w:firstLine="627" w:firstLineChars="196"/>
        <w:rPr>
          <w:rFonts w:ascii="仿宋" w:hAnsi="仿宋" w:eastAsia="仿宋"/>
          <w:kern w:val="0"/>
          <w:szCs w:val="32"/>
          <w:highlight w:val="none"/>
        </w:rPr>
      </w:pPr>
      <w:r>
        <w:rPr>
          <w:rFonts w:hint="eastAsia" w:ascii="仿宋" w:hAnsi="仿宋" w:eastAsia="仿宋"/>
          <w:kern w:val="0"/>
          <w:szCs w:val="32"/>
          <w:highlight w:val="none"/>
        </w:rPr>
        <w:t>纳入取柴河镇政府202</w:t>
      </w:r>
      <w:r>
        <w:rPr>
          <w:rFonts w:hint="eastAsia" w:ascii="仿宋" w:hAnsi="仿宋" w:eastAsia="仿宋"/>
          <w:kern w:val="0"/>
          <w:szCs w:val="32"/>
          <w:highlight w:val="none"/>
          <w:lang w:val="en-US" w:eastAsia="zh-CN"/>
        </w:rPr>
        <w:t>5</w:t>
      </w:r>
      <w:r>
        <w:rPr>
          <w:rFonts w:hint="eastAsia" w:ascii="仿宋" w:hAnsi="仿宋" w:eastAsia="仿宋"/>
          <w:kern w:val="0"/>
          <w:szCs w:val="32"/>
          <w:highlight w:val="none"/>
        </w:rPr>
        <w:t>年度部门预算编制范围的单位包括：取柴河镇政府（本级）；取柴河镇综合服务中心。</w:t>
      </w:r>
    </w:p>
    <w:p w14:paraId="3016DACD">
      <w:pPr>
        <w:pStyle w:val="12"/>
        <w:ind w:firstLine="627" w:firstLineChars="196"/>
        <w:rPr>
          <w:rFonts w:ascii="仿宋" w:hAnsi="仿宋" w:eastAsia="仿宋"/>
          <w:kern w:val="0"/>
          <w:szCs w:val="32"/>
          <w:highlight w:val="none"/>
        </w:rPr>
      </w:pPr>
      <w:r>
        <w:rPr>
          <w:rFonts w:hint="eastAsia" w:ascii="仿宋" w:hAnsi="仿宋" w:eastAsia="仿宋"/>
          <w:kern w:val="0"/>
          <w:szCs w:val="32"/>
          <w:highlight w:val="none"/>
        </w:rPr>
        <w:t>人员情况：在职人员</w:t>
      </w:r>
      <w:r>
        <w:rPr>
          <w:rFonts w:hint="eastAsia" w:ascii="仿宋" w:hAnsi="仿宋" w:eastAsia="仿宋"/>
          <w:kern w:val="0"/>
          <w:szCs w:val="32"/>
          <w:highlight w:val="none"/>
          <w:lang w:val="en-US" w:eastAsia="zh-CN"/>
        </w:rPr>
        <w:t>58</w:t>
      </w:r>
      <w:r>
        <w:rPr>
          <w:rFonts w:hint="eastAsia" w:ascii="仿宋" w:hAnsi="仿宋" w:eastAsia="仿宋"/>
          <w:kern w:val="0"/>
          <w:szCs w:val="32"/>
          <w:highlight w:val="none"/>
        </w:rPr>
        <w:t>人，编制数</w:t>
      </w:r>
      <w:r>
        <w:rPr>
          <w:rFonts w:hint="eastAsia" w:ascii="仿宋" w:hAnsi="仿宋" w:eastAsia="仿宋"/>
          <w:kern w:val="0"/>
          <w:szCs w:val="32"/>
          <w:highlight w:val="none"/>
          <w:lang w:val="en-US" w:eastAsia="zh-CN"/>
        </w:rPr>
        <w:t>68</w:t>
      </w:r>
      <w:r>
        <w:rPr>
          <w:rFonts w:hint="eastAsia" w:ascii="仿宋" w:hAnsi="仿宋" w:eastAsia="仿宋"/>
          <w:kern w:val="0"/>
          <w:szCs w:val="32"/>
          <w:highlight w:val="none"/>
        </w:rPr>
        <w:t>人，领导职数</w:t>
      </w:r>
      <w:r>
        <w:rPr>
          <w:rFonts w:hint="eastAsia" w:ascii="仿宋" w:hAnsi="仿宋" w:eastAsia="仿宋"/>
          <w:kern w:val="0"/>
          <w:szCs w:val="32"/>
          <w:highlight w:val="none"/>
          <w:lang w:val="en-US" w:eastAsia="zh-CN"/>
        </w:rPr>
        <w:t>12</w:t>
      </w:r>
      <w:r>
        <w:rPr>
          <w:rFonts w:hint="eastAsia" w:ascii="仿宋" w:hAnsi="仿宋" w:eastAsia="仿宋"/>
          <w:kern w:val="0"/>
          <w:szCs w:val="32"/>
          <w:highlight w:val="none"/>
        </w:rPr>
        <w:t>个。</w:t>
      </w:r>
    </w:p>
    <w:p w14:paraId="7E0EB54B">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146F71C3">
      <w:pPr>
        <w:jc w:val="left"/>
        <w:rPr>
          <w:rFonts w:ascii="仿宋" w:hAnsi="仿宋" w:eastAsia="仿宋"/>
          <w:sz w:val="32"/>
          <w:szCs w:val="32"/>
          <w:highlight w:val="none"/>
        </w:rPr>
      </w:pPr>
    </w:p>
    <w:p w14:paraId="632AAB7E">
      <w:pPr>
        <w:jc w:val="left"/>
        <w:rPr>
          <w:rFonts w:ascii="仿宋" w:hAnsi="仿宋" w:eastAsia="仿宋"/>
          <w:sz w:val="32"/>
          <w:szCs w:val="32"/>
          <w:highlight w:val="none"/>
        </w:rPr>
      </w:pPr>
    </w:p>
    <w:p w14:paraId="122E365B">
      <w:pPr>
        <w:jc w:val="left"/>
        <w:rPr>
          <w:rFonts w:ascii="仿宋" w:hAnsi="仿宋" w:eastAsia="仿宋"/>
          <w:sz w:val="32"/>
          <w:szCs w:val="32"/>
          <w:highlight w:val="none"/>
        </w:rPr>
      </w:pPr>
    </w:p>
    <w:p w14:paraId="793F7E53">
      <w:pPr>
        <w:jc w:val="left"/>
        <w:rPr>
          <w:rFonts w:ascii="仿宋" w:hAnsi="仿宋" w:eastAsia="仿宋"/>
          <w:sz w:val="32"/>
          <w:szCs w:val="32"/>
          <w:highlight w:val="none"/>
        </w:rPr>
      </w:pPr>
    </w:p>
    <w:p w14:paraId="03E93984">
      <w:pPr>
        <w:jc w:val="left"/>
        <w:rPr>
          <w:rFonts w:ascii="仿宋" w:hAnsi="仿宋" w:eastAsia="仿宋"/>
          <w:sz w:val="32"/>
          <w:szCs w:val="32"/>
          <w:highlight w:val="none"/>
        </w:rPr>
      </w:pPr>
    </w:p>
    <w:p w14:paraId="31994D19">
      <w:pPr>
        <w:jc w:val="left"/>
        <w:rPr>
          <w:rFonts w:ascii="仿宋" w:hAnsi="仿宋" w:eastAsia="仿宋"/>
          <w:sz w:val="32"/>
          <w:szCs w:val="32"/>
          <w:highlight w:val="none"/>
        </w:rPr>
      </w:pPr>
    </w:p>
    <w:p w14:paraId="00D9DF95">
      <w:pPr>
        <w:jc w:val="left"/>
        <w:rPr>
          <w:rFonts w:ascii="仿宋" w:hAnsi="仿宋" w:eastAsia="仿宋"/>
          <w:sz w:val="32"/>
          <w:szCs w:val="32"/>
          <w:highlight w:val="none"/>
        </w:rPr>
      </w:pPr>
    </w:p>
    <w:p w14:paraId="011E469F">
      <w:pPr>
        <w:jc w:val="left"/>
        <w:rPr>
          <w:rFonts w:ascii="仿宋" w:hAnsi="仿宋" w:eastAsia="仿宋"/>
          <w:sz w:val="32"/>
          <w:szCs w:val="32"/>
          <w:highlight w:val="none"/>
        </w:rPr>
      </w:pPr>
    </w:p>
    <w:p w14:paraId="04E290D4">
      <w:pPr>
        <w:jc w:val="left"/>
        <w:rPr>
          <w:rFonts w:ascii="仿宋" w:hAnsi="仿宋" w:eastAsia="仿宋"/>
          <w:sz w:val="32"/>
          <w:szCs w:val="32"/>
          <w:highlight w:val="none"/>
        </w:rPr>
      </w:pPr>
    </w:p>
    <w:p w14:paraId="56A14DE5">
      <w:pPr>
        <w:jc w:val="left"/>
        <w:rPr>
          <w:rFonts w:ascii="仿宋" w:hAnsi="仿宋" w:eastAsia="仿宋"/>
          <w:sz w:val="32"/>
          <w:szCs w:val="32"/>
          <w:highlight w:val="none"/>
        </w:rPr>
      </w:pPr>
    </w:p>
    <w:p w14:paraId="03F63597">
      <w:pPr>
        <w:jc w:val="left"/>
        <w:rPr>
          <w:rFonts w:ascii="仿宋" w:hAnsi="仿宋" w:eastAsia="仿宋"/>
          <w:sz w:val="32"/>
          <w:szCs w:val="32"/>
          <w:highlight w:val="none"/>
        </w:rPr>
      </w:pPr>
    </w:p>
    <w:p w14:paraId="3F9B70D7">
      <w:pPr>
        <w:jc w:val="left"/>
        <w:rPr>
          <w:rFonts w:ascii="仿宋" w:hAnsi="仿宋" w:eastAsia="仿宋"/>
          <w:sz w:val="32"/>
          <w:szCs w:val="32"/>
          <w:highlight w:val="none"/>
        </w:rPr>
      </w:pPr>
    </w:p>
    <w:p w14:paraId="2590DB6F">
      <w:pPr>
        <w:jc w:val="left"/>
        <w:rPr>
          <w:rFonts w:ascii="仿宋" w:hAnsi="仿宋" w:eastAsia="仿宋"/>
          <w:sz w:val="32"/>
          <w:szCs w:val="32"/>
          <w:highlight w:val="none"/>
        </w:rPr>
      </w:pPr>
    </w:p>
    <w:p w14:paraId="2325E75B">
      <w:pPr>
        <w:jc w:val="left"/>
        <w:rPr>
          <w:rFonts w:ascii="仿宋" w:hAnsi="仿宋" w:eastAsia="仿宋"/>
          <w:sz w:val="32"/>
          <w:szCs w:val="32"/>
          <w:highlight w:val="none"/>
        </w:rPr>
      </w:pPr>
    </w:p>
    <w:p w14:paraId="26C4B57B">
      <w:pPr>
        <w:jc w:val="center"/>
        <w:rPr>
          <w:rFonts w:ascii="黑体" w:hAnsi="黑体" w:eastAsia="黑体"/>
          <w:sz w:val="32"/>
          <w:szCs w:val="32"/>
          <w:highlight w:val="none"/>
        </w:rPr>
      </w:pPr>
      <w:r>
        <w:rPr>
          <w:rFonts w:hint="eastAsia" w:ascii="黑体" w:hAnsi="黑体" w:eastAsia="黑体"/>
          <w:sz w:val="32"/>
          <w:szCs w:val="32"/>
          <w:highlight w:val="none"/>
        </w:rPr>
        <w:t>第二部分  情况说明</w:t>
      </w:r>
    </w:p>
    <w:p w14:paraId="68A5B590">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4D0BB08D">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w:t>
      </w:r>
      <w:r>
        <w:rPr>
          <w:rFonts w:hint="eastAsia" w:ascii="楷体" w:hAnsi="楷体" w:eastAsia="楷体"/>
          <w:sz w:val="32"/>
          <w:szCs w:val="32"/>
          <w:highlight w:val="none"/>
          <w:lang w:val="en-US" w:eastAsia="zh-CN"/>
        </w:rPr>
        <w:t>5</w:t>
      </w:r>
      <w:r>
        <w:rPr>
          <w:rFonts w:hint="eastAsia" w:ascii="楷体" w:hAnsi="楷体" w:eastAsia="楷体"/>
          <w:sz w:val="32"/>
          <w:szCs w:val="32"/>
          <w:highlight w:val="none"/>
        </w:rPr>
        <w:t>年收支预算总体情况</w:t>
      </w:r>
    </w:p>
    <w:p w14:paraId="50DBB36B">
      <w:pPr>
        <w:pStyle w:val="11"/>
        <w:ind w:firstLine="640" w:firstLineChars="200"/>
        <w:jc w:val="left"/>
        <w:rPr>
          <w:rFonts w:hint="eastAsia" w:ascii="仿宋" w:hAnsi="仿宋" w:eastAsia="仿宋"/>
          <w:sz w:val="32"/>
          <w:szCs w:val="32"/>
          <w:highlight w:val="none"/>
          <w:lang w:val="en-US" w:eastAsia="zh-CN"/>
        </w:rPr>
      </w:pPr>
      <w:r>
        <w:rPr>
          <w:rFonts w:hint="eastAsia" w:ascii="仿宋" w:hAnsi="仿宋" w:eastAsia="仿宋"/>
          <w:sz w:val="32"/>
          <w:szCs w:val="32"/>
          <w:highlight w:val="none"/>
        </w:rPr>
        <w:t>按照综合预算的原则，所有收入和支出全部纳入部门预算管理。</w:t>
      </w:r>
      <w:r>
        <w:rPr>
          <w:rFonts w:hint="eastAsia" w:ascii="仿宋" w:hAnsi="仿宋" w:eastAsia="仿宋"/>
          <w:sz w:val="32"/>
          <w:szCs w:val="32"/>
          <w:highlight w:val="none"/>
          <w:lang w:eastAsia="zh-CN"/>
        </w:rPr>
        <w:t>收入包括：一般公共预算拨款收入、国有资本经营预算拨款收入、其他收入；支出包括：一般公共服务支出、社会保障和就业支出、卫生健康支出、住房保障支出、国有资本经营预算支出。202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 xml:space="preserve">年收支总预算 </w:t>
      </w:r>
      <w:r>
        <w:rPr>
          <w:rFonts w:hint="eastAsia" w:ascii="仿宋" w:hAnsi="仿宋" w:eastAsia="仿宋"/>
          <w:sz w:val="32"/>
          <w:szCs w:val="32"/>
          <w:highlight w:val="none"/>
          <w:lang w:val="en-US" w:eastAsia="zh-CN"/>
        </w:rPr>
        <w:t xml:space="preserve">1133.10 </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 xml:space="preserve"> 978.11</w:t>
      </w:r>
      <w:r>
        <w:rPr>
          <w:rFonts w:hint="eastAsia" w:ascii="仿宋" w:hAnsi="仿宋" w:eastAsia="仿宋"/>
          <w:sz w:val="32"/>
          <w:szCs w:val="32"/>
          <w:highlight w:val="none"/>
        </w:rPr>
        <w:t>万元增加</w:t>
      </w:r>
      <w:r>
        <w:rPr>
          <w:rFonts w:hint="eastAsia" w:ascii="仿宋" w:hAnsi="仿宋" w:eastAsia="仿宋"/>
          <w:sz w:val="32"/>
          <w:szCs w:val="32"/>
          <w:highlight w:val="none"/>
          <w:lang w:val="en-US" w:eastAsia="zh-CN"/>
        </w:rPr>
        <w:t xml:space="preserve">154.99 </w:t>
      </w:r>
      <w:r>
        <w:rPr>
          <w:rFonts w:hint="eastAsia" w:ascii="仿宋" w:hAnsi="仿宋" w:eastAsia="仿宋"/>
          <w:sz w:val="32"/>
          <w:szCs w:val="32"/>
          <w:highlight w:val="none"/>
        </w:rPr>
        <w:t>万元，主要原因：</w:t>
      </w:r>
      <w:r>
        <w:rPr>
          <w:rFonts w:hint="eastAsia" w:ascii="仿宋" w:hAnsi="仿宋" w:eastAsia="仿宋"/>
          <w:sz w:val="32"/>
          <w:szCs w:val="32"/>
          <w:highlight w:val="none"/>
          <w:lang w:val="en-US" w:eastAsia="zh-CN"/>
        </w:rPr>
        <w:t xml:space="preserve">上年结转金额 </w:t>
      </w:r>
      <w:r>
        <w:rPr>
          <w:rFonts w:hint="eastAsia" w:ascii="仿宋" w:hAnsi="仿宋" w:eastAsia="仿宋"/>
          <w:sz w:val="32"/>
          <w:szCs w:val="32"/>
          <w:highlight w:val="none"/>
          <w:lang w:eastAsia="zh-CN"/>
        </w:rPr>
        <w:t>。</w:t>
      </w:r>
    </w:p>
    <w:p w14:paraId="7E2CD793">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w:t>
      </w:r>
      <w:r>
        <w:rPr>
          <w:rFonts w:hint="eastAsia" w:ascii="楷体" w:hAnsi="楷体" w:eastAsia="楷体"/>
          <w:sz w:val="32"/>
          <w:szCs w:val="32"/>
          <w:highlight w:val="none"/>
          <w:lang w:val="en-US" w:eastAsia="zh-CN"/>
        </w:rPr>
        <w:t>5</w:t>
      </w:r>
      <w:r>
        <w:rPr>
          <w:rFonts w:hint="eastAsia" w:ascii="楷体" w:hAnsi="楷体" w:eastAsia="楷体"/>
          <w:sz w:val="32"/>
          <w:szCs w:val="32"/>
          <w:highlight w:val="none"/>
        </w:rPr>
        <w:t>年收入预算情况</w:t>
      </w:r>
    </w:p>
    <w:p w14:paraId="39CA1714">
      <w:pPr>
        <w:pStyle w:val="11"/>
        <w:ind w:left="319" w:leftChars="152" w:firstLine="320" w:firstLineChars="100"/>
        <w:jc w:val="left"/>
        <w:rPr>
          <w:rFonts w:hint="default" w:ascii="仿宋" w:hAnsi="仿宋" w:eastAsia="仿宋"/>
          <w:sz w:val="32"/>
          <w:szCs w:val="32"/>
          <w:highlight w:val="none"/>
          <w:lang w:val="en-US"/>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年本单位收入预算</w:t>
      </w:r>
      <w:r>
        <w:rPr>
          <w:rFonts w:hint="eastAsia" w:ascii="仿宋" w:hAnsi="仿宋" w:eastAsia="仿宋"/>
          <w:sz w:val="32"/>
          <w:szCs w:val="32"/>
          <w:highlight w:val="none"/>
          <w:lang w:val="en-US" w:eastAsia="zh-CN"/>
        </w:rPr>
        <w:t xml:space="preserve"> 1133.1</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749.69万元，占66.16%；上年结转 383.41万元，占33.84%。本年收入中，一般公共预算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 xml:space="preserve"> 989.10 </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87.29%；政府性基金收入144万元，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12.71%；国有资本经营预算拨款收入 0万元，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0%；其他收入 0万元，占0%。</w:t>
      </w:r>
    </w:p>
    <w:p w14:paraId="25D5B44B">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w:t>
      </w:r>
      <w:r>
        <w:rPr>
          <w:rFonts w:hint="eastAsia" w:ascii="楷体" w:hAnsi="楷体" w:eastAsia="楷体"/>
          <w:sz w:val="32"/>
          <w:szCs w:val="32"/>
          <w:highlight w:val="none"/>
          <w:lang w:eastAsia="zh-CN"/>
        </w:rPr>
        <w:t>202</w:t>
      </w:r>
      <w:r>
        <w:rPr>
          <w:rFonts w:hint="eastAsia" w:ascii="楷体" w:hAnsi="楷体" w:eastAsia="楷体"/>
          <w:sz w:val="32"/>
          <w:szCs w:val="32"/>
          <w:highlight w:val="none"/>
          <w:lang w:val="en-US" w:eastAsia="zh-CN"/>
        </w:rPr>
        <w:t>5</w:t>
      </w:r>
      <w:r>
        <w:rPr>
          <w:rFonts w:hint="eastAsia" w:ascii="楷体" w:hAnsi="楷体" w:eastAsia="楷体"/>
          <w:sz w:val="32"/>
          <w:szCs w:val="32"/>
          <w:highlight w:val="none"/>
        </w:rPr>
        <w:t>年支出预算情况</w:t>
      </w:r>
    </w:p>
    <w:p w14:paraId="198DB7C5">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1133.1</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 xml:space="preserve">，其中：基本支出 </w:t>
      </w:r>
      <w:r>
        <w:rPr>
          <w:rFonts w:hint="eastAsia" w:ascii="仿宋" w:hAnsi="仿宋" w:eastAsia="仿宋"/>
          <w:sz w:val="32"/>
          <w:szCs w:val="32"/>
          <w:highlight w:val="none"/>
          <w:lang w:val="en-US" w:eastAsia="zh-CN"/>
        </w:rPr>
        <w:t>732.14</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64.61</w:t>
      </w:r>
      <w:r>
        <w:rPr>
          <w:rFonts w:hint="eastAsia" w:ascii="仿宋" w:hAnsi="仿宋" w:eastAsia="仿宋"/>
          <w:sz w:val="32"/>
          <w:szCs w:val="32"/>
          <w:highlight w:val="none"/>
          <w:lang w:eastAsia="zh-CN"/>
        </w:rPr>
        <w:t xml:space="preserve">%；项目支出 </w:t>
      </w:r>
      <w:r>
        <w:rPr>
          <w:rFonts w:hint="eastAsia" w:ascii="仿宋" w:hAnsi="仿宋" w:eastAsia="仿宋"/>
          <w:sz w:val="32"/>
          <w:szCs w:val="32"/>
          <w:highlight w:val="none"/>
          <w:lang w:val="en-US" w:eastAsia="zh-CN"/>
        </w:rPr>
        <w:t>400.96</w:t>
      </w:r>
      <w:r>
        <w:rPr>
          <w:rFonts w:hint="eastAsia" w:ascii="仿宋" w:hAnsi="仿宋" w:eastAsia="仿宋"/>
          <w:sz w:val="32"/>
          <w:szCs w:val="32"/>
          <w:highlight w:val="none"/>
          <w:lang w:eastAsia="zh-CN"/>
        </w:rPr>
        <w:t xml:space="preserve"> 万元，占</w:t>
      </w:r>
      <w:r>
        <w:rPr>
          <w:rFonts w:hint="eastAsia" w:ascii="仿宋" w:hAnsi="仿宋" w:eastAsia="仿宋"/>
          <w:sz w:val="32"/>
          <w:szCs w:val="32"/>
          <w:highlight w:val="none"/>
          <w:lang w:val="en-US" w:eastAsia="zh-CN"/>
        </w:rPr>
        <w:t>35.39</w:t>
      </w:r>
      <w:r>
        <w:rPr>
          <w:rFonts w:hint="eastAsia" w:ascii="仿宋" w:hAnsi="仿宋" w:eastAsia="仿宋"/>
          <w:sz w:val="32"/>
          <w:szCs w:val="32"/>
          <w:highlight w:val="none"/>
          <w:lang w:eastAsia="zh-CN"/>
        </w:rPr>
        <w:t>%。</w:t>
      </w:r>
    </w:p>
    <w:p w14:paraId="071C1F18">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w:t>
      </w:r>
      <w:r>
        <w:rPr>
          <w:rFonts w:hint="eastAsia" w:ascii="楷体" w:hAnsi="楷体" w:eastAsia="楷体"/>
          <w:sz w:val="32"/>
          <w:szCs w:val="32"/>
          <w:highlight w:val="none"/>
          <w:lang w:val="en-US" w:eastAsia="zh-CN"/>
        </w:rPr>
        <w:t>5</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14:paraId="0D4A9A71">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预算</w:t>
      </w:r>
      <w:r>
        <w:rPr>
          <w:rFonts w:hint="eastAsia" w:ascii="仿宋" w:hAnsi="仿宋" w:eastAsia="仿宋"/>
          <w:sz w:val="32"/>
          <w:szCs w:val="32"/>
          <w:highlight w:val="none"/>
          <w:lang w:val="en-US" w:eastAsia="zh-CN"/>
        </w:rPr>
        <w:t>1133.1</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749.69 万元，上年结转 383.41 万元。支出包括：</w:t>
      </w:r>
      <w:r>
        <w:rPr>
          <w:rFonts w:hint="eastAsia" w:ascii="仿宋" w:hAnsi="仿宋" w:eastAsia="仿宋"/>
          <w:sz w:val="32"/>
          <w:szCs w:val="32"/>
          <w:highlight w:val="none"/>
        </w:rPr>
        <w:t>一般公共服务支出</w:t>
      </w:r>
      <w:r>
        <w:rPr>
          <w:rFonts w:hint="eastAsia" w:ascii="仿宋" w:hAnsi="仿宋" w:eastAsia="仿宋"/>
          <w:sz w:val="32"/>
          <w:szCs w:val="32"/>
          <w:highlight w:val="none"/>
          <w:lang w:val="en-US" w:eastAsia="zh-CN"/>
        </w:rPr>
        <w:t>569.72</w:t>
      </w:r>
      <w:r>
        <w:rPr>
          <w:rFonts w:hint="eastAsia" w:ascii="仿宋" w:hAnsi="仿宋" w:eastAsia="仿宋"/>
          <w:sz w:val="32"/>
          <w:szCs w:val="32"/>
          <w:highlight w:val="none"/>
        </w:rPr>
        <w:t>万元，社会保障和就业支出</w:t>
      </w:r>
      <w:r>
        <w:rPr>
          <w:rFonts w:hint="eastAsia" w:ascii="仿宋" w:hAnsi="仿宋" w:eastAsia="仿宋"/>
          <w:sz w:val="32"/>
          <w:szCs w:val="32"/>
          <w:highlight w:val="none"/>
          <w:lang w:val="en-US" w:eastAsia="zh-CN"/>
        </w:rPr>
        <w:t>111</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24.91</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55.13</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国有资本经营预算支</w:t>
      </w:r>
      <w:r>
        <w:rPr>
          <w:rFonts w:hint="eastAsia" w:ascii="仿宋" w:hAnsi="仿宋" w:eastAsia="仿宋"/>
          <w:sz w:val="32"/>
          <w:szCs w:val="32"/>
          <w:highlight w:val="none"/>
          <w:lang w:val="en-US" w:eastAsia="zh-CN"/>
        </w:rPr>
        <w:t xml:space="preserve"> 0 万元，农林水支出100.4万元，城乡社区支出127.94万元，其他支出144万元</w:t>
      </w:r>
      <w:r>
        <w:rPr>
          <w:rFonts w:hint="eastAsia" w:ascii="仿宋" w:hAnsi="仿宋" w:eastAsia="仿宋"/>
          <w:sz w:val="32"/>
          <w:szCs w:val="32"/>
          <w:highlight w:val="none"/>
        </w:rPr>
        <w:t>。</w:t>
      </w:r>
    </w:p>
    <w:p w14:paraId="46A6DE4F">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w:t>
      </w:r>
      <w:r>
        <w:rPr>
          <w:rFonts w:hint="eastAsia" w:ascii="楷体" w:hAnsi="楷体" w:eastAsia="楷体" w:cs="楷体"/>
          <w:kern w:val="0"/>
          <w:sz w:val="32"/>
          <w:szCs w:val="32"/>
          <w:highlight w:val="none"/>
          <w:lang w:val="en-US" w:eastAsia="zh-CN"/>
        </w:rPr>
        <w:t>5</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p>
    <w:p w14:paraId="32E0AF48">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年一般公共预算当年拨款1133.1万元，其中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 732.14万元，占64.61%；项目支出400.96万元，占</w:t>
      </w:r>
      <w:r>
        <w:rPr>
          <w:rFonts w:hint="eastAsia" w:ascii="仿宋" w:hAnsi="仿宋" w:eastAsia="仿宋"/>
          <w:sz w:val="32"/>
          <w:szCs w:val="32"/>
          <w:highlight w:val="none"/>
          <w:lang w:val="en-US" w:eastAsia="zh-CN"/>
        </w:rPr>
        <w:t>35.39</w:t>
      </w:r>
      <w:r>
        <w:rPr>
          <w:rFonts w:hint="eastAsia" w:ascii="仿宋" w:hAnsi="仿宋" w:eastAsia="仿宋"/>
          <w:sz w:val="32"/>
          <w:szCs w:val="32"/>
          <w:highlight w:val="none"/>
        </w:rPr>
        <w:t>%。基本支出中，人员经费</w:t>
      </w:r>
      <w:r>
        <w:rPr>
          <w:rFonts w:hint="eastAsia" w:ascii="仿宋" w:hAnsi="仿宋" w:eastAsia="仿宋"/>
          <w:sz w:val="32"/>
          <w:szCs w:val="32"/>
          <w:highlight w:val="none"/>
          <w:lang w:val="en-US" w:eastAsia="zh-CN"/>
        </w:rPr>
        <w:t>660.43</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90.21</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71.71</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9.79</w:t>
      </w:r>
      <w:r>
        <w:rPr>
          <w:rFonts w:hint="eastAsia" w:ascii="仿宋" w:hAnsi="仿宋" w:eastAsia="仿宋"/>
          <w:sz w:val="32"/>
          <w:szCs w:val="32"/>
          <w:highlight w:val="none"/>
        </w:rPr>
        <w:t>%。</w:t>
      </w:r>
    </w:p>
    <w:p w14:paraId="708A7149">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eastAsia="zh-CN"/>
        </w:rPr>
        <w:t>一般公共服务（类）支出</w:t>
      </w:r>
      <w:r>
        <w:rPr>
          <w:rFonts w:hint="eastAsia" w:ascii="仿宋" w:hAnsi="仿宋" w:eastAsia="仿宋"/>
          <w:sz w:val="32"/>
          <w:szCs w:val="32"/>
          <w:highlight w:val="none"/>
          <w:lang w:val="en-US" w:eastAsia="zh-CN"/>
        </w:rPr>
        <w:t xml:space="preserve"> 569.72万元，占50.28</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行政事业单位人员的基本工资，津贴补助。奖金等还有日常的办公经费，水电费，差旅费等方面的支出。</w:t>
      </w:r>
    </w:p>
    <w:p w14:paraId="799086DC">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社会保障和就业（类）支出111万元，占9.8</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机关事业单位养老保险缴费，职业年金缴费等支出。</w:t>
      </w:r>
    </w:p>
    <w:p w14:paraId="3922E0E5">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卫生健康（类）支出24.91万元，占2.2</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行政单位医疗保险支出。</w:t>
      </w:r>
    </w:p>
    <w:p w14:paraId="3F2E0797">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住房保障（类）支出55.13万元，占4.86</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住房公积金的支出。</w:t>
      </w:r>
    </w:p>
    <w:p w14:paraId="3751A4DA">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农林水支出100.4万元，占8.86%，主要用于：村民委员会和村党支部的补助。</w:t>
      </w:r>
    </w:p>
    <w:p w14:paraId="61B3DE78">
      <w:pPr>
        <w:pStyle w:val="9"/>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城乡社区支出127.94万元，占11.29</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rPr>
        <w:t>城乡社区的环境卫生的支出。</w:t>
      </w:r>
    </w:p>
    <w:p w14:paraId="2056FD74">
      <w:pPr>
        <w:pStyle w:val="9"/>
        <w:ind w:firstLine="640" w:firstLineChars="200"/>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其他支出144万元，占12.71</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相关项目支出</w:t>
      </w:r>
      <w:r>
        <w:rPr>
          <w:rFonts w:hint="eastAsia" w:ascii="仿宋" w:hAnsi="仿宋" w:eastAsia="仿宋"/>
          <w:sz w:val="32"/>
          <w:szCs w:val="32"/>
          <w:highlight w:val="none"/>
        </w:rPr>
        <w:t>。</w:t>
      </w:r>
    </w:p>
    <w:p w14:paraId="66D3DEFF">
      <w:pPr>
        <w:pStyle w:val="9"/>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2025年一般公共预算基本支出情况</w:t>
      </w:r>
    </w:p>
    <w:p w14:paraId="79E478A6">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2025年一般公共预算基本支出 732.14万元，其中：</w:t>
      </w:r>
    </w:p>
    <w:p w14:paraId="21EF2E44">
      <w:pPr>
        <w:ind w:firstLine="640" w:firstLineChars="200"/>
        <w:rPr>
          <w:rFonts w:ascii="仿宋" w:hAnsi="仿宋" w:eastAsia="仿宋"/>
          <w:sz w:val="32"/>
          <w:szCs w:val="32"/>
          <w:highlight w:val="none"/>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658.96</w:t>
      </w:r>
      <w:r>
        <w:rPr>
          <w:rFonts w:hint="eastAsia" w:ascii="仿宋" w:hAnsi="仿宋" w:eastAsia="仿宋"/>
          <w:sz w:val="32"/>
          <w:szCs w:val="32"/>
          <w:highlight w:val="none"/>
        </w:rPr>
        <w:t>万元，主要包括：基本工资、津贴补贴、奖金、</w:t>
      </w:r>
      <w:r>
        <w:rPr>
          <w:rFonts w:hint="eastAsia" w:ascii="仿宋" w:hAnsi="仿宋" w:eastAsia="仿宋"/>
          <w:sz w:val="32"/>
          <w:szCs w:val="32"/>
          <w:highlight w:val="none"/>
          <w:lang w:eastAsia="zh-CN"/>
        </w:rPr>
        <w:t>绩效工资、机关事业单位基本养老保险缴费、职工基本医疗保险缴费、其他社会保障缴费、住房公积金、</w:t>
      </w:r>
      <w:r>
        <w:rPr>
          <w:rFonts w:hint="eastAsia" w:ascii="仿宋" w:hAnsi="仿宋" w:eastAsia="仿宋"/>
          <w:sz w:val="32"/>
          <w:szCs w:val="32"/>
          <w:highlight w:val="none"/>
        </w:rPr>
        <w:t>其他工资福利支出</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14:paraId="5898B4B6">
      <w:pPr>
        <w:pStyle w:val="9"/>
        <w:ind w:firstLine="627" w:firstLineChars="196"/>
        <w:rPr>
          <w:rFonts w:ascii="仿宋" w:hAnsi="仿宋" w:eastAsia="仿宋"/>
          <w:kern w:val="0"/>
          <w:sz w:val="32"/>
          <w:szCs w:val="32"/>
          <w:highlight w:val="none"/>
        </w:rPr>
      </w:pP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73.18</w:t>
      </w:r>
      <w:r>
        <w:rPr>
          <w:rFonts w:hint="eastAsia" w:ascii="仿宋" w:hAnsi="仿宋" w:eastAsia="仿宋"/>
          <w:sz w:val="32"/>
          <w:szCs w:val="32"/>
          <w:highlight w:val="none"/>
        </w:rPr>
        <w:t>万元，主要包括：办公费、</w:t>
      </w:r>
      <w:r>
        <w:rPr>
          <w:rFonts w:hint="eastAsia" w:ascii="仿宋" w:hAnsi="仿宋" w:eastAsia="仿宋"/>
          <w:sz w:val="32"/>
          <w:szCs w:val="32"/>
          <w:highlight w:val="none"/>
          <w:lang w:eastAsia="zh-CN"/>
        </w:rPr>
        <w:t>水费、电费、</w:t>
      </w:r>
      <w:r>
        <w:rPr>
          <w:rFonts w:hint="eastAsia" w:ascii="仿宋" w:hAnsi="仿宋" w:eastAsia="仿宋"/>
          <w:sz w:val="32"/>
          <w:szCs w:val="32"/>
          <w:highlight w:val="none"/>
        </w:rPr>
        <w:t>取暖费、差旅费、工会经费、公务用车运行维护费</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14:paraId="78AFA737">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w:t>
      </w:r>
      <w:r>
        <w:rPr>
          <w:rFonts w:hint="eastAsia" w:ascii="楷体" w:hAnsi="楷体" w:eastAsia="楷体"/>
          <w:kern w:val="0"/>
          <w:sz w:val="32"/>
          <w:szCs w:val="32"/>
          <w:highlight w:val="none"/>
          <w:lang w:val="en-US" w:eastAsia="zh-CN"/>
        </w:rPr>
        <w:t>5</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14:paraId="612B749A">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5</w:t>
      </w:r>
      <w:r>
        <w:rPr>
          <w:rFonts w:hint="eastAsia" w:ascii="仿宋" w:hAnsi="仿宋" w:eastAsia="仿宋"/>
          <w:kern w:val="0"/>
          <w:sz w:val="32"/>
          <w:szCs w:val="32"/>
          <w:highlight w:val="none"/>
        </w:rPr>
        <w:t>年“三公”经费预算数</w:t>
      </w:r>
      <w:r>
        <w:rPr>
          <w:rFonts w:hint="eastAsia" w:ascii="仿宋" w:hAnsi="仿宋" w:eastAsia="仿宋"/>
          <w:kern w:val="0"/>
          <w:sz w:val="32"/>
          <w:szCs w:val="32"/>
          <w:highlight w:val="none"/>
          <w:lang w:val="en-US" w:eastAsia="zh-CN"/>
        </w:rPr>
        <w:t>7</w:t>
      </w:r>
      <w:r>
        <w:rPr>
          <w:rFonts w:hint="eastAsia" w:ascii="仿宋" w:hAnsi="仿宋" w:eastAsia="仿宋"/>
          <w:kern w:val="0"/>
          <w:sz w:val="32"/>
          <w:szCs w:val="32"/>
          <w:highlight w:val="none"/>
        </w:rPr>
        <w:t xml:space="preserve">万元，与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年预算数相同。其中：</w:t>
      </w:r>
    </w:p>
    <w:p w14:paraId="7EBB4F47">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 xml:space="preserve">1.因公出国（境）费 0 万元，与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年预算数相同。</w:t>
      </w:r>
    </w:p>
    <w:p w14:paraId="4F11D376">
      <w:pPr>
        <w:pStyle w:val="9"/>
        <w:ind w:firstLine="627" w:firstLineChars="196"/>
        <w:rPr>
          <w:rFonts w:hint="eastAsia" w:ascii="仿宋" w:hAnsi="仿宋" w:eastAsia="仿宋"/>
          <w:kern w:val="0"/>
          <w:sz w:val="32"/>
          <w:szCs w:val="32"/>
          <w:highlight w:val="none"/>
          <w:lang w:val="en-US" w:eastAsia="zh-CN"/>
        </w:rPr>
      </w:pPr>
      <w:r>
        <w:rPr>
          <w:rFonts w:hint="eastAsia" w:ascii="仿宋" w:hAnsi="仿宋" w:eastAsia="仿宋"/>
          <w:kern w:val="0"/>
          <w:sz w:val="32"/>
          <w:szCs w:val="32"/>
          <w:highlight w:val="none"/>
        </w:rPr>
        <w:t xml:space="preserve">2.公务接待费 </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 xml:space="preserve">万元，与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年预算数相同</w:t>
      </w:r>
      <w:r>
        <w:rPr>
          <w:rFonts w:hint="eastAsia" w:ascii="仿宋" w:hAnsi="仿宋" w:eastAsia="仿宋"/>
          <w:kern w:val="0"/>
          <w:sz w:val="32"/>
          <w:szCs w:val="32"/>
          <w:highlight w:val="none"/>
          <w:lang w:eastAsia="zh-CN"/>
        </w:rPr>
        <w:t>。</w:t>
      </w:r>
    </w:p>
    <w:p w14:paraId="6ECE8532">
      <w:pPr>
        <w:pStyle w:val="9"/>
        <w:ind w:firstLine="640" w:firstLineChars="200"/>
        <w:rPr>
          <w:rFonts w:hint="eastAsia" w:ascii="仿宋" w:hAnsi="仿宋" w:eastAsia="仿宋"/>
          <w:kern w:val="0"/>
          <w:sz w:val="32"/>
          <w:szCs w:val="32"/>
          <w:highlight w:val="none"/>
        </w:rPr>
      </w:pPr>
      <w:bookmarkStart w:id="0" w:name="_GoBack"/>
      <w:bookmarkEnd w:id="0"/>
      <w:r>
        <w:rPr>
          <w:rFonts w:hint="eastAsia" w:ascii="仿宋" w:hAnsi="仿宋" w:eastAsia="仿宋"/>
          <w:kern w:val="0"/>
          <w:sz w:val="32"/>
          <w:szCs w:val="32"/>
          <w:highlight w:val="none"/>
        </w:rPr>
        <w:t>3.公务用车购置及运行费</w:t>
      </w:r>
      <w:r>
        <w:rPr>
          <w:rFonts w:hint="eastAsia" w:ascii="仿宋" w:hAnsi="仿宋" w:eastAsia="仿宋"/>
          <w:kern w:val="0"/>
          <w:sz w:val="32"/>
          <w:szCs w:val="32"/>
          <w:highlight w:val="none"/>
          <w:lang w:val="en-US" w:eastAsia="zh-CN"/>
        </w:rPr>
        <w:t xml:space="preserve"> 7 </w:t>
      </w:r>
      <w:r>
        <w:rPr>
          <w:rFonts w:hint="eastAsia" w:ascii="仿宋" w:hAnsi="仿宋" w:eastAsia="仿宋"/>
          <w:kern w:val="0"/>
          <w:sz w:val="32"/>
          <w:szCs w:val="32"/>
          <w:highlight w:val="none"/>
        </w:rPr>
        <w:t xml:space="preserve">万元，与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年预算数相同。其中，公务用车运行维护费</w:t>
      </w:r>
      <w:r>
        <w:rPr>
          <w:rFonts w:hint="eastAsia" w:ascii="仿宋" w:hAnsi="仿宋" w:eastAsia="仿宋"/>
          <w:kern w:val="0"/>
          <w:sz w:val="32"/>
          <w:szCs w:val="32"/>
          <w:highlight w:val="none"/>
          <w:lang w:val="en-US" w:eastAsia="zh-CN"/>
        </w:rPr>
        <w:t xml:space="preserve">7 </w:t>
      </w:r>
      <w:r>
        <w:rPr>
          <w:rFonts w:hint="eastAsia" w:ascii="仿宋" w:hAnsi="仿宋" w:eastAsia="仿宋"/>
          <w:kern w:val="0"/>
          <w:sz w:val="32"/>
          <w:szCs w:val="32"/>
          <w:highlight w:val="none"/>
        </w:rPr>
        <w:t xml:space="preserve">万元，与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年预算数相同，公务用车购置</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 xml:space="preserve">万元，与 </w:t>
      </w:r>
      <w:r>
        <w:rPr>
          <w:rFonts w:hint="eastAsia" w:ascii="仿宋" w:hAnsi="仿宋" w:eastAsia="仿宋"/>
          <w:kern w:val="0"/>
          <w:sz w:val="32"/>
          <w:szCs w:val="32"/>
          <w:highlight w:val="none"/>
          <w:lang w:eastAsia="zh-CN"/>
        </w:rPr>
        <w:t>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年预算数相同。</w:t>
      </w:r>
    </w:p>
    <w:p w14:paraId="138941E1">
      <w:pPr>
        <w:pStyle w:val="9"/>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2025年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14:paraId="491A1EB1">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lang w:val="en-US" w:eastAsia="zh-CN"/>
        </w:rPr>
        <w:t>2025</w:t>
      </w: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lang w:val="en-US" w:eastAsia="zh-CN"/>
        </w:rPr>
        <w:t>144万元，主要用于项目支出</w:t>
      </w:r>
      <w:r>
        <w:rPr>
          <w:rFonts w:hint="eastAsia" w:ascii="仿宋" w:hAnsi="仿宋" w:eastAsia="仿宋"/>
          <w:sz w:val="32"/>
          <w:szCs w:val="32"/>
          <w:highlight w:val="none"/>
          <w:lang w:eastAsia="zh-CN"/>
        </w:rPr>
        <w:t>。</w:t>
      </w:r>
    </w:p>
    <w:p w14:paraId="58824E1A">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2025年国有资本经营预算支出情况</w:t>
      </w:r>
    </w:p>
    <w:p w14:paraId="1FCED08F">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w:t>
      </w:r>
      <w:r>
        <w:rPr>
          <w:rFonts w:hint="eastAsia" w:ascii="仿宋" w:hAnsi="仿宋" w:eastAsia="仿宋"/>
          <w:sz w:val="32"/>
          <w:szCs w:val="32"/>
          <w:highlight w:val="none"/>
          <w:lang w:eastAsia="zh-CN"/>
        </w:rPr>
        <w:t>国有资本经营预算支出。</w:t>
      </w:r>
    </w:p>
    <w:p w14:paraId="6F71C0E6">
      <w:pPr>
        <w:numPr>
          <w:ilvl w:val="0"/>
          <w:numId w:val="3"/>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14:paraId="021390BB">
      <w:pPr>
        <w:numPr>
          <w:ilvl w:val="0"/>
          <w:numId w:val="0"/>
        </w:num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（一）</w:t>
      </w:r>
      <w:r>
        <w:rPr>
          <w:rFonts w:hint="eastAsia" w:ascii="楷体" w:hAnsi="楷体" w:eastAsia="楷体" w:cs="楷体"/>
          <w:sz w:val="32"/>
          <w:szCs w:val="32"/>
          <w:highlight w:val="none"/>
        </w:rPr>
        <w:t>机关运行经费</w:t>
      </w:r>
    </w:p>
    <w:p w14:paraId="7F03F737">
      <w:pPr>
        <w:pStyle w:val="8"/>
        <w:ind w:firstLine="64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年部门本级</w:t>
      </w:r>
      <w:r>
        <w:rPr>
          <w:rFonts w:hint="eastAsia" w:ascii="仿宋" w:hAnsi="仿宋" w:eastAsia="仿宋"/>
          <w:sz w:val="32"/>
          <w:szCs w:val="32"/>
          <w:highlight w:val="none"/>
          <w:lang w:eastAsia="zh-CN"/>
        </w:rPr>
        <w:t>，</w:t>
      </w:r>
      <w:r>
        <w:rPr>
          <w:rFonts w:hint="eastAsia" w:ascii="仿宋" w:hAnsi="仿宋" w:eastAsia="仿宋"/>
          <w:sz w:val="32"/>
          <w:szCs w:val="32"/>
          <w:highlight w:val="none"/>
          <w:lang w:val="en-US" w:eastAsia="zh-CN"/>
        </w:rPr>
        <w:t>综合服务中心2</w:t>
      </w:r>
      <w:r>
        <w:rPr>
          <w:rFonts w:hint="eastAsia" w:ascii="仿宋" w:hAnsi="仿宋" w:eastAsia="仿宋"/>
          <w:sz w:val="32"/>
          <w:szCs w:val="32"/>
          <w:highlight w:val="none"/>
        </w:rPr>
        <w:t>家行政单位以及</w:t>
      </w:r>
      <w:r>
        <w:rPr>
          <w:rFonts w:hint="eastAsia" w:ascii="仿宋" w:hAnsi="仿宋" w:eastAsia="仿宋"/>
          <w:sz w:val="32"/>
          <w:szCs w:val="32"/>
          <w:highlight w:val="none"/>
          <w:lang w:val="en-US" w:eastAsia="zh-CN"/>
        </w:rPr>
        <w:t>事业单位</w:t>
      </w:r>
      <w:r>
        <w:rPr>
          <w:rFonts w:hint="eastAsia" w:ascii="仿宋" w:hAnsi="仿宋" w:eastAsia="仿宋"/>
          <w:sz w:val="32"/>
          <w:szCs w:val="32"/>
          <w:highlight w:val="none"/>
        </w:rPr>
        <w:t>等</w:t>
      </w:r>
      <w:r>
        <w:rPr>
          <w:rFonts w:hint="eastAsia" w:ascii="仿宋" w:hAnsi="仿宋" w:eastAsia="仿宋"/>
          <w:sz w:val="32"/>
          <w:szCs w:val="32"/>
          <w:highlight w:val="none"/>
          <w:lang w:val="en-US" w:eastAsia="zh-CN"/>
        </w:rPr>
        <w:t>2</w:t>
      </w:r>
      <w:r>
        <w:rPr>
          <w:rFonts w:hint="eastAsia" w:ascii="仿宋" w:hAnsi="仿宋" w:eastAsia="仿宋"/>
          <w:sz w:val="32"/>
          <w:szCs w:val="32"/>
          <w:highlight w:val="none"/>
        </w:rPr>
        <w:t>家参公管公事业单位的机关运行经费财政拨款预算</w:t>
      </w:r>
      <w:r>
        <w:rPr>
          <w:rFonts w:hint="eastAsia" w:ascii="仿宋" w:hAnsi="仿宋" w:eastAsia="仿宋"/>
          <w:sz w:val="32"/>
          <w:szCs w:val="32"/>
          <w:highlight w:val="none"/>
          <w:lang w:val="en-US" w:eastAsia="zh-CN"/>
        </w:rPr>
        <w:t xml:space="preserve"> 569.32</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年预算增加</w:t>
      </w:r>
      <w:r>
        <w:rPr>
          <w:rFonts w:hint="eastAsia" w:ascii="仿宋" w:hAnsi="仿宋" w:eastAsia="仿宋"/>
          <w:sz w:val="32"/>
          <w:szCs w:val="32"/>
          <w:highlight w:val="none"/>
          <w:lang w:val="en-US" w:eastAsia="zh-CN"/>
        </w:rPr>
        <w:t xml:space="preserve"> 98.81 </w:t>
      </w:r>
      <w:r>
        <w:rPr>
          <w:rFonts w:hint="eastAsia" w:ascii="仿宋" w:hAnsi="仿宋" w:eastAsia="仿宋"/>
          <w:sz w:val="32"/>
          <w:szCs w:val="32"/>
          <w:highlight w:val="none"/>
        </w:rPr>
        <w:t>万元，增长</w:t>
      </w:r>
      <w:r>
        <w:rPr>
          <w:rFonts w:hint="eastAsia" w:ascii="仿宋" w:hAnsi="仿宋" w:eastAsia="仿宋"/>
          <w:sz w:val="32"/>
          <w:szCs w:val="32"/>
          <w:highlight w:val="none"/>
          <w:lang w:val="en-US" w:eastAsia="zh-CN"/>
        </w:rPr>
        <w:t>17.36</w:t>
      </w:r>
      <w:r>
        <w:rPr>
          <w:rFonts w:hint="eastAsia" w:ascii="仿宋" w:hAnsi="仿宋" w:eastAsia="仿宋"/>
          <w:sz w:val="32"/>
          <w:szCs w:val="32"/>
          <w:highlight w:val="none"/>
        </w:rPr>
        <w:t>%，主要原因是上年结转金额</w:t>
      </w:r>
      <w:r>
        <w:rPr>
          <w:rFonts w:hint="eastAsia" w:ascii="仿宋" w:hAnsi="仿宋" w:eastAsia="仿宋"/>
          <w:sz w:val="32"/>
          <w:szCs w:val="32"/>
          <w:highlight w:val="none"/>
          <w:lang w:eastAsia="zh-CN"/>
        </w:rPr>
        <w:t>。</w:t>
      </w:r>
    </w:p>
    <w:p w14:paraId="72002A7C">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（二）</w:t>
      </w:r>
      <w:r>
        <w:rPr>
          <w:rFonts w:hint="eastAsia" w:ascii="楷体" w:hAnsi="楷体" w:eastAsia="楷体"/>
          <w:sz w:val="32"/>
          <w:szCs w:val="32"/>
          <w:highlight w:val="none"/>
        </w:rPr>
        <w:t>政府采购情况</w:t>
      </w:r>
    </w:p>
    <w:p w14:paraId="397A6EC4">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年政府采购预算总额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万元，其中：政府采购办公设备和其他设备预算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万元，政府采购工程预算</w:t>
      </w:r>
      <w:r>
        <w:rPr>
          <w:rFonts w:hint="eastAsia" w:ascii="仿宋" w:hAnsi="仿宋" w:eastAsia="仿宋"/>
          <w:sz w:val="32"/>
          <w:szCs w:val="32"/>
          <w:highlight w:val="none"/>
          <w:lang w:val="en-US" w:eastAsia="zh-CN"/>
        </w:rPr>
        <w:t xml:space="preserve"> 0</w:t>
      </w:r>
      <w:r>
        <w:rPr>
          <w:rFonts w:hint="eastAsia" w:ascii="仿宋" w:hAnsi="仿宋" w:eastAsia="仿宋"/>
          <w:sz w:val="32"/>
          <w:szCs w:val="32"/>
          <w:highlight w:val="none"/>
        </w:rPr>
        <w:t>万元，政府采购服务预算</w:t>
      </w:r>
      <w:r>
        <w:rPr>
          <w:rFonts w:hint="eastAsia" w:ascii="仿宋" w:hAnsi="仿宋" w:eastAsia="仿宋"/>
          <w:sz w:val="32"/>
          <w:szCs w:val="32"/>
          <w:highlight w:val="none"/>
          <w:lang w:val="en-US" w:eastAsia="zh-CN"/>
        </w:rPr>
        <w:t xml:space="preserve">0 </w:t>
      </w:r>
      <w:r>
        <w:rPr>
          <w:rFonts w:hint="eastAsia" w:ascii="仿宋" w:hAnsi="仿宋" w:eastAsia="仿宋"/>
          <w:sz w:val="32"/>
          <w:szCs w:val="32"/>
          <w:highlight w:val="none"/>
        </w:rPr>
        <w:t>万元。</w:t>
      </w:r>
    </w:p>
    <w:p w14:paraId="708711C8">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lang w:eastAsia="zh-CN"/>
        </w:rPr>
        <w:t>（三）</w:t>
      </w:r>
      <w:r>
        <w:rPr>
          <w:rFonts w:hint="eastAsia" w:ascii="楷体" w:hAnsi="楷体" w:eastAsia="楷体"/>
          <w:sz w:val="32"/>
          <w:szCs w:val="32"/>
          <w:highlight w:val="none"/>
        </w:rPr>
        <w:t>国有资产占</w:t>
      </w:r>
      <w:r>
        <w:rPr>
          <w:rFonts w:hint="eastAsia" w:ascii="楷体" w:hAnsi="楷体" w:eastAsia="楷体"/>
          <w:sz w:val="32"/>
          <w:szCs w:val="32"/>
          <w:highlight w:val="none"/>
          <w:lang w:eastAsia="zh-CN"/>
        </w:rPr>
        <w:t>有使</w:t>
      </w:r>
      <w:r>
        <w:rPr>
          <w:rFonts w:hint="eastAsia" w:ascii="楷体" w:hAnsi="楷体" w:eastAsia="楷体"/>
          <w:sz w:val="32"/>
          <w:szCs w:val="32"/>
          <w:highlight w:val="none"/>
        </w:rPr>
        <w:t>用情况</w:t>
      </w:r>
    </w:p>
    <w:p w14:paraId="3B71E558">
      <w:pPr>
        <w:pStyle w:val="8"/>
        <w:ind w:firstLine="0" w:firstLineChars="0"/>
        <w:jc w:val="left"/>
        <w:rPr>
          <w:rFonts w:ascii="仿宋" w:hAnsi="仿宋" w:eastAsia="仿宋"/>
          <w:sz w:val="32"/>
          <w:szCs w:val="32"/>
          <w:highlight w:val="none"/>
        </w:rPr>
      </w:pPr>
      <w:r>
        <w:rPr>
          <w:rFonts w:hint="eastAsia" w:ascii="仿宋" w:hAnsi="仿宋" w:eastAsia="仿宋"/>
          <w:sz w:val="32"/>
          <w:szCs w:val="32"/>
          <w:highlight w:val="none"/>
        </w:rPr>
        <w:t xml:space="preserve">    截至</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月，部门本级和所属各预算单位共有车辆</w:t>
      </w:r>
      <w:r>
        <w:rPr>
          <w:rFonts w:hint="eastAsia" w:ascii="仿宋" w:hAnsi="仿宋" w:eastAsia="仿宋"/>
          <w:sz w:val="32"/>
          <w:szCs w:val="32"/>
          <w:highlight w:val="none"/>
          <w:lang w:val="en-US" w:eastAsia="zh-CN"/>
        </w:rPr>
        <w:t xml:space="preserve">3 </w:t>
      </w:r>
      <w:r>
        <w:rPr>
          <w:rFonts w:hint="eastAsia" w:ascii="仿宋" w:hAnsi="仿宋" w:eastAsia="仿宋"/>
          <w:sz w:val="32"/>
          <w:szCs w:val="32"/>
          <w:highlight w:val="none"/>
        </w:rPr>
        <w:t xml:space="preserve">辆，其中，领导干部用车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 辆、一般公务用车 </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辆,一般执法执勤用车</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辆、特种专业技术用车</w:t>
      </w:r>
      <w:r>
        <w:rPr>
          <w:rFonts w:hint="eastAsia" w:ascii="仿宋" w:hAnsi="仿宋" w:eastAsia="仿宋"/>
          <w:sz w:val="32"/>
          <w:szCs w:val="32"/>
          <w:highlight w:val="none"/>
          <w:lang w:val="en-US" w:eastAsia="zh-CN"/>
        </w:rPr>
        <w:t xml:space="preserve"> 1 </w:t>
      </w:r>
      <w:r>
        <w:rPr>
          <w:rFonts w:hint="eastAsia" w:ascii="仿宋" w:hAnsi="仿宋" w:eastAsia="仿宋"/>
          <w:sz w:val="32"/>
          <w:szCs w:val="32"/>
          <w:highlight w:val="none"/>
        </w:rPr>
        <w:t>辆、其他用车</w:t>
      </w:r>
      <w:r>
        <w:rPr>
          <w:rFonts w:hint="eastAsia" w:ascii="仿宋" w:hAnsi="仿宋" w:eastAsia="仿宋"/>
          <w:sz w:val="32"/>
          <w:szCs w:val="32"/>
          <w:highlight w:val="none"/>
          <w:lang w:val="en-US" w:eastAsia="zh-CN"/>
        </w:rPr>
        <w:t xml:space="preserve"> 1 </w:t>
      </w:r>
      <w:r>
        <w:rPr>
          <w:rFonts w:hint="eastAsia" w:ascii="仿宋" w:hAnsi="仿宋" w:eastAsia="仿宋"/>
          <w:sz w:val="32"/>
          <w:szCs w:val="32"/>
          <w:highlight w:val="none"/>
        </w:rPr>
        <w:t>辆，价值200万元以上大型设备</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台（套）。</w:t>
      </w:r>
    </w:p>
    <w:p w14:paraId="61467E18">
      <w:pPr>
        <w:pStyle w:val="8"/>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年部门预算安排购置车辆及价值200万元以上大型设备</w:t>
      </w:r>
      <w:r>
        <w:rPr>
          <w:rFonts w:hint="eastAsia" w:ascii="仿宋" w:hAnsi="仿宋" w:eastAsia="仿宋"/>
          <w:sz w:val="32"/>
          <w:szCs w:val="32"/>
          <w:highlight w:val="none"/>
          <w:lang w:val="en-US" w:eastAsia="zh-CN"/>
        </w:rPr>
        <w:t xml:space="preserve"> 0</w:t>
      </w:r>
      <w:r>
        <w:rPr>
          <w:rFonts w:hint="eastAsia" w:ascii="仿宋" w:hAnsi="仿宋" w:eastAsia="仿宋"/>
          <w:sz w:val="32"/>
          <w:szCs w:val="32"/>
          <w:highlight w:val="none"/>
        </w:rPr>
        <w:t>万元。</w:t>
      </w:r>
    </w:p>
    <w:p w14:paraId="69FE26EF">
      <w:pPr>
        <w:numPr>
          <w:ilvl w:val="0"/>
          <w:numId w:val="4"/>
        </w:numPr>
        <w:ind w:firstLine="640"/>
        <w:jc w:val="left"/>
        <w:rPr>
          <w:rFonts w:ascii="楷体" w:hAnsi="楷体" w:eastAsia="楷体"/>
          <w:sz w:val="32"/>
          <w:szCs w:val="32"/>
          <w:highlight w:val="none"/>
        </w:rPr>
      </w:pPr>
      <w:r>
        <w:rPr>
          <w:rFonts w:hint="eastAsia" w:ascii="楷体" w:hAnsi="楷体" w:eastAsia="楷体"/>
          <w:sz w:val="32"/>
          <w:szCs w:val="32"/>
          <w:highlight w:val="none"/>
        </w:rPr>
        <w:t>预算项目绩效目标</w:t>
      </w:r>
      <w:r>
        <w:rPr>
          <w:rFonts w:hint="eastAsia" w:ascii="楷体" w:hAnsi="楷体" w:eastAsia="楷体"/>
          <w:sz w:val="32"/>
          <w:szCs w:val="32"/>
          <w:highlight w:val="none"/>
          <w:lang w:eastAsia="zh-CN"/>
        </w:rPr>
        <w:t>管理</w:t>
      </w:r>
      <w:r>
        <w:rPr>
          <w:rFonts w:hint="eastAsia" w:ascii="楷体" w:hAnsi="楷体" w:eastAsia="楷体"/>
          <w:sz w:val="32"/>
          <w:szCs w:val="32"/>
          <w:highlight w:val="none"/>
        </w:rPr>
        <w:t>情况</w:t>
      </w:r>
    </w:p>
    <w:p w14:paraId="4ADF4ED3">
      <w:pPr>
        <w:jc w:val="left"/>
        <w:rPr>
          <w:rFonts w:ascii="仿宋" w:hAnsi="仿宋" w:eastAsia="仿宋"/>
          <w:sz w:val="32"/>
          <w:szCs w:val="32"/>
          <w:highlight w:val="none"/>
        </w:rPr>
      </w:pPr>
      <w:r>
        <w:rPr>
          <w:rFonts w:hint="eastAsia" w:ascii="仿宋" w:hAnsi="仿宋" w:eastAsia="仿宋"/>
          <w:sz w:val="32"/>
          <w:szCs w:val="32"/>
          <w:highlight w:val="none"/>
        </w:rPr>
        <w:t xml:space="preserve">    按照全面实施预算绩效管理的要求，结合本部门职能和重点工作，</w:t>
      </w: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 xml:space="preserve">年确定 </w:t>
      </w:r>
      <w:r>
        <w:rPr>
          <w:rFonts w:hint="eastAsia" w:ascii="仿宋" w:hAnsi="仿宋" w:eastAsia="仿宋"/>
          <w:sz w:val="32"/>
          <w:szCs w:val="32"/>
          <w:highlight w:val="none"/>
          <w:lang w:val="en-US" w:eastAsia="zh-CN"/>
        </w:rPr>
        <w:t xml:space="preserve">7 </w:t>
      </w:r>
      <w:r>
        <w:rPr>
          <w:rFonts w:hint="eastAsia" w:ascii="仿宋" w:hAnsi="仿宋" w:eastAsia="仿宋"/>
          <w:sz w:val="32"/>
          <w:szCs w:val="32"/>
          <w:highlight w:val="none"/>
        </w:rPr>
        <w:t>个部门本级预算项目，涉及金额</w:t>
      </w:r>
      <w:r>
        <w:rPr>
          <w:rFonts w:hint="eastAsia" w:ascii="仿宋" w:hAnsi="仿宋" w:eastAsia="仿宋"/>
          <w:sz w:val="32"/>
          <w:szCs w:val="32"/>
          <w:highlight w:val="none"/>
          <w:lang w:val="en-US" w:eastAsia="zh-CN"/>
        </w:rPr>
        <w:t>29.25</w:t>
      </w:r>
      <w:r>
        <w:rPr>
          <w:rFonts w:hint="eastAsia" w:ascii="仿宋" w:hAnsi="仿宋" w:eastAsia="仿宋"/>
          <w:sz w:val="32"/>
          <w:szCs w:val="32"/>
          <w:highlight w:val="none"/>
        </w:rPr>
        <w:t>万元，项目内容为</w:t>
      </w:r>
      <w:r>
        <w:rPr>
          <w:rFonts w:hint="eastAsia" w:ascii="仿宋" w:hAnsi="仿宋" w:eastAsia="仿宋"/>
          <w:sz w:val="32"/>
          <w:szCs w:val="32"/>
          <w:highlight w:val="none"/>
          <w:lang w:val="en-US" w:eastAsia="zh-CN"/>
        </w:rPr>
        <w:t>专项业务支出，</w:t>
      </w:r>
      <w:r>
        <w:rPr>
          <w:rFonts w:hint="eastAsia" w:ascii="仿宋" w:hAnsi="仿宋" w:eastAsia="仿宋"/>
          <w:sz w:val="32"/>
          <w:szCs w:val="32"/>
          <w:highlight w:val="none"/>
        </w:rPr>
        <w:t>主要目标为</w:t>
      </w:r>
      <w:r>
        <w:rPr>
          <w:rFonts w:hint="eastAsia" w:ascii="仿宋" w:hAnsi="仿宋" w:eastAsia="仿宋"/>
          <w:sz w:val="32"/>
          <w:szCs w:val="32"/>
          <w:highlight w:val="none"/>
          <w:lang w:val="en-US" w:eastAsia="zh-CN"/>
        </w:rPr>
        <w:t>完成政府各项项目任务</w:t>
      </w:r>
      <w:r>
        <w:rPr>
          <w:rFonts w:hint="eastAsia" w:ascii="仿宋" w:hAnsi="仿宋" w:eastAsia="仿宋"/>
          <w:sz w:val="32"/>
          <w:szCs w:val="32"/>
          <w:highlight w:val="none"/>
        </w:rPr>
        <w:t>。同时，将预算项目绩效目标进一步细化为绩效指标和指标值（附预算项目绩效目标申报表）。</w:t>
      </w:r>
    </w:p>
    <w:p w14:paraId="5379DA89">
      <w:pPr>
        <w:jc w:val="left"/>
        <w:rPr>
          <w:rFonts w:ascii="仿宋" w:hAnsi="仿宋" w:eastAsia="仿宋"/>
          <w:sz w:val="32"/>
          <w:szCs w:val="32"/>
          <w:highlight w:val="none"/>
        </w:rPr>
      </w:pPr>
    </w:p>
    <w:p w14:paraId="452B8561">
      <w:pPr>
        <w:jc w:val="center"/>
        <w:rPr>
          <w:rFonts w:ascii="仿宋" w:hAnsi="仿宋" w:eastAsia="仿宋"/>
          <w:sz w:val="32"/>
          <w:szCs w:val="32"/>
          <w:highlight w:val="none"/>
        </w:rPr>
      </w:pPr>
    </w:p>
    <w:p w14:paraId="4516FDA9">
      <w:pPr>
        <w:jc w:val="center"/>
        <w:rPr>
          <w:rFonts w:ascii="仿宋" w:hAnsi="仿宋" w:eastAsia="仿宋"/>
          <w:sz w:val="32"/>
          <w:szCs w:val="32"/>
          <w:highlight w:val="none"/>
        </w:rPr>
      </w:pPr>
    </w:p>
    <w:p w14:paraId="3494C7F0">
      <w:pPr>
        <w:jc w:val="center"/>
        <w:rPr>
          <w:rFonts w:ascii="仿宋" w:hAnsi="仿宋" w:eastAsia="仿宋"/>
          <w:sz w:val="32"/>
          <w:szCs w:val="32"/>
          <w:highlight w:val="none"/>
        </w:rPr>
      </w:pPr>
    </w:p>
    <w:p w14:paraId="42703090">
      <w:pPr>
        <w:jc w:val="center"/>
        <w:rPr>
          <w:rFonts w:ascii="仿宋" w:hAnsi="仿宋" w:eastAsia="仿宋"/>
          <w:sz w:val="32"/>
          <w:szCs w:val="32"/>
          <w:highlight w:val="none"/>
        </w:rPr>
      </w:pPr>
    </w:p>
    <w:p w14:paraId="5DD567B0">
      <w:pPr>
        <w:jc w:val="center"/>
        <w:rPr>
          <w:rFonts w:ascii="仿宋" w:hAnsi="仿宋" w:eastAsia="仿宋"/>
          <w:sz w:val="32"/>
          <w:szCs w:val="32"/>
          <w:highlight w:val="none"/>
        </w:rPr>
      </w:pPr>
    </w:p>
    <w:p w14:paraId="557B9823">
      <w:pPr>
        <w:jc w:val="center"/>
        <w:rPr>
          <w:rFonts w:ascii="仿宋" w:hAnsi="仿宋" w:eastAsia="仿宋"/>
          <w:sz w:val="32"/>
          <w:szCs w:val="32"/>
          <w:highlight w:val="none"/>
        </w:rPr>
      </w:pPr>
    </w:p>
    <w:p w14:paraId="1B606748">
      <w:pPr>
        <w:jc w:val="center"/>
        <w:rPr>
          <w:rFonts w:ascii="仿宋" w:hAnsi="仿宋" w:eastAsia="仿宋"/>
          <w:sz w:val="32"/>
          <w:szCs w:val="32"/>
          <w:highlight w:val="none"/>
        </w:rPr>
      </w:pPr>
    </w:p>
    <w:p w14:paraId="4E5C7B3D">
      <w:pPr>
        <w:jc w:val="center"/>
        <w:rPr>
          <w:rFonts w:ascii="仿宋" w:hAnsi="仿宋" w:eastAsia="仿宋"/>
          <w:sz w:val="32"/>
          <w:szCs w:val="32"/>
          <w:highlight w:val="none"/>
        </w:rPr>
      </w:pPr>
    </w:p>
    <w:p w14:paraId="7B04CF4A">
      <w:pPr>
        <w:jc w:val="center"/>
        <w:rPr>
          <w:rFonts w:ascii="仿宋" w:hAnsi="仿宋" w:eastAsia="仿宋"/>
          <w:sz w:val="32"/>
          <w:szCs w:val="32"/>
          <w:highlight w:val="none"/>
        </w:rPr>
      </w:pPr>
    </w:p>
    <w:p w14:paraId="2AA71DB4">
      <w:pPr>
        <w:jc w:val="center"/>
        <w:rPr>
          <w:rFonts w:ascii="仿宋" w:hAnsi="仿宋" w:eastAsia="仿宋"/>
          <w:sz w:val="32"/>
          <w:szCs w:val="32"/>
          <w:highlight w:val="none"/>
        </w:rPr>
      </w:pPr>
    </w:p>
    <w:p w14:paraId="3728DF93">
      <w:pPr>
        <w:jc w:val="center"/>
        <w:rPr>
          <w:rFonts w:ascii="仿宋" w:hAnsi="仿宋" w:eastAsia="仿宋"/>
          <w:sz w:val="32"/>
          <w:szCs w:val="32"/>
          <w:highlight w:val="none"/>
        </w:rPr>
      </w:pPr>
    </w:p>
    <w:p w14:paraId="2F5FF9EC">
      <w:pPr>
        <w:jc w:val="center"/>
        <w:rPr>
          <w:rFonts w:ascii="仿宋" w:hAnsi="仿宋" w:eastAsia="仿宋"/>
          <w:sz w:val="32"/>
          <w:szCs w:val="32"/>
          <w:highlight w:val="none"/>
        </w:rPr>
      </w:pPr>
    </w:p>
    <w:p w14:paraId="0D8DD37C">
      <w:pPr>
        <w:jc w:val="center"/>
        <w:rPr>
          <w:rFonts w:ascii="仿宋" w:hAnsi="仿宋" w:eastAsia="仿宋"/>
          <w:sz w:val="32"/>
          <w:szCs w:val="32"/>
          <w:highlight w:val="none"/>
        </w:rPr>
      </w:pPr>
    </w:p>
    <w:p w14:paraId="36B2E3B6">
      <w:pPr>
        <w:jc w:val="center"/>
        <w:rPr>
          <w:rFonts w:ascii="仿宋" w:hAnsi="仿宋" w:eastAsia="仿宋"/>
          <w:sz w:val="32"/>
          <w:szCs w:val="32"/>
          <w:highlight w:val="none"/>
        </w:rPr>
      </w:pPr>
    </w:p>
    <w:p w14:paraId="50CA96BB">
      <w:pPr>
        <w:jc w:val="center"/>
        <w:rPr>
          <w:rFonts w:ascii="仿宋" w:hAnsi="仿宋" w:eastAsia="仿宋"/>
          <w:sz w:val="32"/>
          <w:szCs w:val="32"/>
          <w:highlight w:val="none"/>
        </w:rPr>
      </w:pPr>
    </w:p>
    <w:p w14:paraId="41B3CB34">
      <w:pPr>
        <w:jc w:val="center"/>
        <w:rPr>
          <w:rFonts w:ascii="仿宋" w:hAnsi="仿宋" w:eastAsia="仿宋"/>
          <w:sz w:val="32"/>
          <w:szCs w:val="32"/>
          <w:highlight w:val="none"/>
        </w:rPr>
      </w:pPr>
    </w:p>
    <w:p w14:paraId="4A468031">
      <w:pPr>
        <w:jc w:val="center"/>
        <w:rPr>
          <w:rFonts w:ascii="仿宋" w:hAnsi="仿宋" w:eastAsia="仿宋"/>
          <w:sz w:val="32"/>
          <w:szCs w:val="32"/>
          <w:highlight w:val="none"/>
        </w:rPr>
      </w:pPr>
    </w:p>
    <w:p w14:paraId="5DEF7FCE">
      <w:pPr>
        <w:jc w:val="center"/>
        <w:rPr>
          <w:rFonts w:ascii="仿宋" w:hAnsi="仿宋" w:eastAsia="仿宋"/>
          <w:sz w:val="32"/>
          <w:szCs w:val="32"/>
          <w:highlight w:val="none"/>
        </w:rPr>
      </w:pPr>
    </w:p>
    <w:p w14:paraId="34457B44">
      <w:pPr>
        <w:jc w:val="center"/>
        <w:rPr>
          <w:rFonts w:ascii="仿宋" w:hAnsi="仿宋" w:eastAsia="仿宋"/>
          <w:sz w:val="32"/>
          <w:szCs w:val="32"/>
          <w:highlight w:val="none"/>
        </w:rPr>
      </w:pPr>
    </w:p>
    <w:p w14:paraId="35D27258">
      <w:pPr>
        <w:jc w:val="center"/>
        <w:rPr>
          <w:rFonts w:ascii="仿宋" w:hAnsi="仿宋" w:eastAsia="仿宋"/>
          <w:sz w:val="32"/>
          <w:szCs w:val="32"/>
          <w:highlight w:val="none"/>
        </w:rPr>
      </w:pPr>
    </w:p>
    <w:p w14:paraId="5D8C1479">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14:paraId="4C901F4A">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拨款收入：指</w:t>
      </w:r>
      <w:r>
        <w:rPr>
          <w:rFonts w:hint="eastAsia" w:ascii="仿宋_GB2312" w:eastAsia="仿宋_GB2312"/>
          <w:sz w:val="32"/>
          <w:szCs w:val="32"/>
          <w:highlight w:val="none"/>
          <w:lang w:eastAsia="zh-CN"/>
        </w:rPr>
        <w:t>本级</w:t>
      </w:r>
      <w:r>
        <w:rPr>
          <w:rFonts w:hint="eastAsia" w:ascii="仿宋_GB2312" w:eastAsia="仿宋_GB2312"/>
          <w:sz w:val="32"/>
          <w:szCs w:val="32"/>
          <w:highlight w:val="none"/>
        </w:rPr>
        <w:t>财政</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当年</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拨付的资金。</w:t>
      </w:r>
    </w:p>
    <w:p w14:paraId="5A71E410">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二、政府性基金预算拨款收入：指本级财政通过当年政府性基金预算拨付的资金。</w:t>
      </w:r>
    </w:p>
    <w:p w14:paraId="06102768">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三、国有资本经营预算拨款收入：指本级财政通过当年国有资本经营预算拨付的资金。</w:t>
      </w:r>
    </w:p>
    <w:p w14:paraId="30E938B8">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其他收入：指除上述收入以外的各项收入。包括银行存款利息收入。</w:t>
      </w:r>
    </w:p>
    <w:p w14:paraId="4791F36B">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、基本支出：指为保障机构正常运转、完成日常工作任务而发生的人员支出和公用支出等各项支出。</w:t>
      </w:r>
    </w:p>
    <w:p w14:paraId="06B0424C">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六</w:t>
      </w:r>
      <w:r>
        <w:rPr>
          <w:rFonts w:hint="eastAsia" w:ascii="仿宋_GB2312" w:eastAsia="仿宋_GB2312"/>
          <w:sz w:val="32"/>
          <w:szCs w:val="32"/>
          <w:highlight w:val="none"/>
        </w:rPr>
        <w:t>、项目支出：指在基本支出之外为完成特定行政工作任务和事业发展目标所发生的各项支出。</w:t>
      </w:r>
    </w:p>
    <w:p w14:paraId="56D9F7AC">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七</w:t>
      </w:r>
      <w:r>
        <w:rPr>
          <w:rFonts w:hint="eastAsia" w:ascii="仿宋_GB2312" w:eastAsia="仿宋_GB2312"/>
          <w:sz w:val="32"/>
          <w:szCs w:val="32"/>
          <w:highlight w:val="none"/>
        </w:rPr>
        <w:t>、年初结转和结余：指以前年度尚未完成、结转到本年仍按原规定用途继续使用的资金，或项目已完成等产生的结余资金。</w:t>
      </w:r>
    </w:p>
    <w:p w14:paraId="13FCB0D8">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八</w:t>
      </w:r>
      <w:r>
        <w:rPr>
          <w:rFonts w:hint="eastAsia" w:ascii="仿宋_GB2312" w:eastAsia="仿宋_GB2312"/>
          <w:sz w:val="32"/>
          <w:szCs w:val="32"/>
          <w:highlight w:val="none"/>
        </w:rPr>
        <w:t>、年末结转和结余：指事业单位按有关规定结转到下年或以后年度继续使用的资金，或项目已完成等产生的结余资金。</w:t>
      </w:r>
    </w:p>
    <w:p w14:paraId="5328CADE">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九</w:t>
      </w:r>
      <w:r>
        <w:rPr>
          <w:rFonts w:hint="eastAsia" w:ascii="仿宋_GB2312" w:eastAsia="仿宋_GB2312"/>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A1755B9">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3BA76DAF">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十一</w:t>
      </w:r>
      <w:r>
        <w:rPr>
          <w:rFonts w:hint="eastAsia" w:ascii="仿宋_GB2312" w:eastAsia="仿宋_GB2312"/>
          <w:sz w:val="32"/>
          <w:szCs w:val="32"/>
          <w:highlight w:val="none"/>
        </w:rPr>
        <w:t>、住房公积金支出：指行政事业单位按人力资源和社会保障部、财政部规定的基本工资和津贴补贴以及规定比例为职工缴纳的住房公积金支出。</w:t>
      </w:r>
    </w:p>
    <w:p w14:paraId="72033E8C">
      <w:pPr>
        <w:ind w:firstLine="640" w:firstLineChars="200"/>
        <w:jc w:val="left"/>
        <w:rPr>
          <w:rFonts w:ascii="仿宋_GB2312" w:hAnsi="仿宋_GB2312" w:eastAsia="仿宋_GB2312" w:cs="Times New Roman"/>
          <w:kern w:val="0"/>
          <w:sz w:val="32"/>
          <w:szCs w:val="32"/>
          <w:highlight w:val="none"/>
        </w:rPr>
      </w:pPr>
      <w:r>
        <w:rPr>
          <w:rFonts w:hint="eastAsia" w:ascii="仿宋_GB2312" w:eastAsia="仿宋_GB2312"/>
          <w:sz w:val="32"/>
          <w:szCs w:val="32"/>
          <w:highlight w:val="none"/>
        </w:rPr>
        <w:t>十</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14:paraId="7B77CB1F">
      <w:pPr>
        <w:ind w:firstLine="640" w:firstLineChars="200"/>
        <w:rPr>
          <w:rFonts w:ascii="仿宋_GB2312" w:eastAsia="仿宋_GB2312"/>
          <w:sz w:val="32"/>
          <w:szCs w:val="32"/>
          <w:highlight w:val="none"/>
        </w:rPr>
      </w:pPr>
    </w:p>
    <w:p w14:paraId="4271AD85">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496DEC53">
      <w:pPr>
        <w:jc w:val="left"/>
        <w:rPr>
          <w:rFonts w:ascii="仿宋" w:hAnsi="仿宋" w:eastAsia="仿宋"/>
          <w:sz w:val="32"/>
          <w:szCs w:val="32"/>
          <w:highlight w:val="none"/>
        </w:rPr>
      </w:pPr>
    </w:p>
    <w:p w14:paraId="37566359">
      <w:pPr>
        <w:jc w:val="left"/>
        <w:rPr>
          <w:rFonts w:ascii="仿宋" w:hAnsi="仿宋" w:eastAsia="仿宋"/>
          <w:sz w:val="32"/>
          <w:szCs w:val="32"/>
          <w:highlight w:val="none"/>
        </w:rPr>
      </w:pPr>
    </w:p>
    <w:p w14:paraId="0972B7C6">
      <w:pPr>
        <w:jc w:val="center"/>
        <w:rPr>
          <w:rFonts w:ascii="仿宋" w:hAnsi="仿宋" w:eastAsia="仿宋"/>
          <w:sz w:val="32"/>
          <w:szCs w:val="32"/>
          <w:highlight w:val="none"/>
        </w:rPr>
      </w:pPr>
      <w:r>
        <w:rPr>
          <w:rFonts w:hint="eastAsia" w:ascii="仿宋" w:hAnsi="仿宋" w:eastAsia="仿宋"/>
          <w:sz w:val="32"/>
          <w:szCs w:val="32"/>
          <w:highlight w:val="none"/>
        </w:rPr>
        <w:t>第四部分  预算表格</w:t>
      </w:r>
    </w:p>
    <w:p w14:paraId="5A640EA9">
      <w:pPr>
        <w:jc w:val="left"/>
        <w:rPr>
          <w:rFonts w:ascii="仿宋" w:hAnsi="仿宋" w:eastAsia="仿宋"/>
          <w:sz w:val="32"/>
          <w:szCs w:val="32"/>
          <w:highlight w:val="none"/>
        </w:rPr>
      </w:pPr>
      <w:r>
        <w:rPr>
          <w:rFonts w:hint="eastAsia" w:ascii="仿宋" w:hAnsi="仿宋" w:eastAsia="仿宋"/>
          <w:sz w:val="32"/>
          <w:szCs w:val="32"/>
          <w:highlight w:val="none"/>
          <w:lang w:eastAsia="zh-CN"/>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年部门预算表套表（</w:t>
      </w:r>
      <w:r>
        <w:rPr>
          <w:rFonts w:hint="eastAsia" w:ascii="仿宋" w:hAnsi="仿宋" w:eastAsia="仿宋"/>
          <w:sz w:val="32"/>
          <w:szCs w:val="32"/>
          <w:highlight w:val="none"/>
          <w:lang w:eastAsia="zh-CN"/>
        </w:rPr>
        <w:t>预算一体化系统报表查询模块中提取相应数据</w:t>
      </w:r>
      <w:r>
        <w:rPr>
          <w:rFonts w:hint="eastAsia" w:ascii="仿宋" w:hAnsi="仿宋" w:eastAsia="仿宋"/>
          <w:sz w:val="32"/>
          <w:szCs w:val="32"/>
          <w:highlight w:val="none"/>
        </w:rPr>
        <w:t>）.</w:t>
      </w:r>
    </w:p>
    <w:p w14:paraId="19068843">
      <w:pPr>
        <w:rPr>
          <w:rFonts w:ascii="仿宋" w:hAnsi="仿宋" w:eastAsia="仿宋"/>
          <w:sz w:val="32"/>
          <w:szCs w:val="32"/>
          <w:highlight w:val="none"/>
        </w:rPr>
      </w:pPr>
    </w:p>
    <w:p w14:paraId="104F6C60">
      <w:pPr>
        <w:rPr>
          <w:rFonts w:ascii="仿宋" w:hAnsi="仿宋" w:eastAsia="仿宋"/>
          <w:b/>
          <w:sz w:val="32"/>
          <w:szCs w:val="32"/>
          <w:highlight w:val="none"/>
        </w:rPr>
      </w:pPr>
      <w:r>
        <w:rPr>
          <w:rFonts w:hint="eastAsia" w:ascii="仿宋" w:hAnsi="仿宋" w:eastAsia="仿宋"/>
          <w:b/>
          <w:sz w:val="32"/>
          <w:szCs w:val="32"/>
          <w:highlight w:val="none"/>
        </w:rPr>
        <w:t>注意：</w:t>
      </w:r>
      <w:r>
        <w:rPr>
          <w:rFonts w:hint="eastAsia" w:ascii="仿宋" w:hAnsi="仿宋" w:eastAsia="仿宋"/>
          <w:b/>
          <w:sz w:val="32"/>
          <w:szCs w:val="32"/>
          <w:highlight w:val="none"/>
          <w:lang w:val="en-US" w:eastAsia="zh-CN"/>
        </w:rPr>
        <w:t>请勿删减文字部分内容，</w:t>
      </w:r>
      <w:r>
        <w:rPr>
          <w:rFonts w:hint="eastAsia" w:ascii="仿宋" w:hAnsi="仿宋" w:eastAsia="仿宋"/>
          <w:b/>
          <w:sz w:val="32"/>
          <w:szCs w:val="32"/>
          <w:highlight w:val="none"/>
        </w:rPr>
        <w:t>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NmM2U5M2RhZjM3ZTI5ODZkNWZiYjYxZTBlMzI1ZTk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640BD1"/>
    <w:rsid w:val="018E6F43"/>
    <w:rsid w:val="01EC1B1D"/>
    <w:rsid w:val="025766C1"/>
    <w:rsid w:val="034968DF"/>
    <w:rsid w:val="03D7309C"/>
    <w:rsid w:val="03F248D4"/>
    <w:rsid w:val="07C71E05"/>
    <w:rsid w:val="08190FFD"/>
    <w:rsid w:val="0A450E4E"/>
    <w:rsid w:val="0A7F599D"/>
    <w:rsid w:val="0B4115AF"/>
    <w:rsid w:val="0C633590"/>
    <w:rsid w:val="0C7C5D37"/>
    <w:rsid w:val="0D0F40E1"/>
    <w:rsid w:val="0E0E4A27"/>
    <w:rsid w:val="0E235FAD"/>
    <w:rsid w:val="0E933B6E"/>
    <w:rsid w:val="0F4C4086"/>
    <w:rsid w:val="0FC65E97"/>
    <w:rsid w:val="10D9450A"/>
    <w:rsid w:val="112B3A0C"/>
    <w:rsid w:val="117169F8"/>
    <w:rsid w:val="11DF6BD5"/>
    <w:rsid w:val="12C62CA4"/>
    <w:rsid w:val="15DA5399"/>
    <w:rsid w:val="187E3884"/>
    <w:rsid w:val="18F97B94"/>
    <w:rsid w:val="191A0446"/>
    <w:rsid w:val="19E413FB"/>
    <w:rsid w:val="19F95F46"/>
    <w:rsid w:val="1A08068C"/>
    <w:rsid w:val="1B4A363A"/>
    <w:rsid w:val="1BC526EF"/>
    <w:rsid w:val="1C3B3F82"/>
    <w:rsid w:val="1C882350"/>
    <w:rsid w:val="1CDC1A5B"/>
    <w:rsid w:val="1F451F7A"/>
    <w:rsid w:val="20EF71F1"/>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DB21965"/>
    <w:rsid w:val="2DB7713C"/>
    <w:rsid w:val="2E3342C6"/>
    <w:rsid w:val="344D4C9B"/>
    <w:rsid w:val="36273D08"/>
    <w:rsid w:val="37361A0B"/>
    <w:rsid w:val="38253B59"/>
    <w:rsid w:val="385B501F"/>
    <w:rsid w:val="38DE30B8"/>
    <w:rsid w:val="39284901"/>
    <w:rsid w:val="3A482539"/>
    <w:rsid w:val="3A915046"/>
    <w:rsid w:val="3C4C15D1"/>
    <w:rsid w:val="3CEA5A8A"/>
    <w:rsid w:val="3D897F97"/>
    <w:rsid w:val="3DA7578C"/>
    <w:rsid w:val="3F597259"/>
    <w:rsid w:val="3F6B774D"/>
    <w:rsid w:val="430260DD"/>
    <w:rsid w:val="442476FC"/>
    <w:rsid w:val="46C17DAD"/>
    <w:rsid w:val="46F64D5D"/>
    <w:rsid w:val="49B81F53"/>
    <w:rsid w:val="4AAC7860"/>
    <w:rsid w:val="4D0265B8"/>
    <w:rsid w:val="4D8021B9"/>
    <w:rsid w:val="4DFF6777"/>
    <w:rsid w:val="4EB752BA"/>
    <w:rsid w:val="4ED6365B"/>
    <w:rsid w:val="4F735000"/>
    <w:rsid w:val="50F75E7E"/>
    <w:rsid w:val="51436F0F"/>
    <w:rsid w:val="51BB428B"/>
    <w:rsid w:val="52DF1D28"/>
    <w:rsid w:val="53A4083B"/>
    <w:rsid w:val="54923E8D"/>
    <w:rsid w:val="54941844"/>
    <w:rsid w:val="5538455E"/>
    <w:rsid w:val="567F658B"/>
    <w:rsid w:val="56A94595"/>
    <w:rsid w:val="57CD3E75"/>
    <w:rsid w:val="580A299B"/>
    <w:rsid w:val="5B5D76B7"/>
    <w:rsid w:val="5B8E44C5"/>
    <w:rsid w:val="5C982767"/>
    <w:rsid w:val="5CD80EBE"/>
    <w:rsid w:val="5CFA751D"/>
    <w:rsid w:val="5DB8541C"/>
    <w:rsid w:val="5E221344"/>
    <w:rsid w:val="5E32788E"/>
    <w:rsid w:val="5E8F5162"/>
    <w:rsid w:val="5F094911"/>
    <w:rsid w:val="5FB128C2"/>
    <w:rsid w:val="60731B65"/>
    <w:rsid w:val="60CB0FC9"/>
    <w:rsid w:val="60D72763"/>
    <w:rsid w:val="61525EF8"/>
    <w:rsid w:val="62B666A5"/>
    <w:rsid w:val="62E15FE9"/>
    <w:rsid w:val="6303762A"/>
    <w:rsid w:val="65255B39"/>
    <w:rsid w:val="659C7B1A"/>
    <w:rsid w:val="65E847CC"/>
    <w:rsid w:val="67286561"/>
    <w:rsid w:val="691F508E"/>
    <w:rsid w:val="6A340295"/>
    <w:rsid w:val="6A5666B8"/>
    <w:rsid w:val="6C626D3D"/>
    <w:rsid w:val="6DF0400D"/>
    <w:rsid w:val="6E5B22F8"/>
    <w:rsid w:val="6EBE6D14"/>
    <w:rsid w:val="70EF2762"/>
    <w:rsid w:val="71201EF9"/>
    <w:rsid w:val="716F5053"/>
    <w:rsid w:val="729E55FD"/>
    <w:rsid w:val="73D62900"/>
    <w:rsid w:val="73FA7C77"/>
    <w:rsid w:val="744F0BEE"/>
    <w:rsid w:val="74A55A8E"/>
    <w:rsid w:val="7539654A"/>
    <w:rsid w:val="75836739"/>
    <w:rsid w:val="76C753DE"/>
    <w:rsid w:val="76C775D8"/>
    <w:rsid w:val="76F260C3"/>
    <w:rsid w:val="77322505"/>
    <w:rsid w:val="77FC6956"/>
    <w:rsid w:val="7A64282A"/>
    <w:rsid w:val="7A8D6ADA"/>
    <w:rsid w:val="7DB366E4"/>
    <w:rsid w:val="7E3B2C6B"/>
    <w:rsid w:val="7E492DA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13</Pages>
  <Words>3801</Words>
  <Characters>4173</Characters>
  <Lines>19</Lines>
  <Paragraphs>5</Paragraphs>
  <TotalTime>7</TotalTime>
  <ScaleCrop>false</ScaleCrop>
  <LinksUpToDate>false</LinksUpToDate>
  <CharactersWithSpaces>4299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Administrator</cp:lastModifiedBy>
  <cp:lastPrinted>2025-04-10T02:03:00Z</cp:lastPrinted>
  <dcterms:modified xsi:type="dcterms:W3CDTF">2025-04-10T03:08:51Z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eyJoZGlkIjoiOTYzNTc4MGZmYzg4YmViOTkxMjQ2ZjQ0NDA2ODljMGIifQ==</vt:lpwstr>
  </property>
</Properties>
</file>